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7E25" w14:textId="77777777" w:rsidR="00F135C5" w:rsidRPr="008D1746" w:rsidRDefault="00435617" w:rsidP="00F135C5">
      <w:pPr>
        <w:tabs>
          <w:tab w:val="left" w:pos="-720"/>
        </w:tabs>
        <w:suppressAutoHyphens/>
        <w:spacing w:line="262" w:lineRule="auto"/>
        <w:jc w:val="center"/>
        <w:rPr>
          <w:b/>
          <w:sz w:val="28"/>
          <w:lang w:val="en-US"/>
        </w:rPr>
      </w:pPr>
      <w:r w:rsidRPr="008D1746">
        <w:rPr>
          <w:b/>
          <w:sz w:val="28"/>
          <w:lang w:val="en-US"/>
        </w:rPr>
        <w:t>ISSP Study Description Form</w:t>
      </w:r>
    </w:p>
    <w:p w14:paraId="09CC2AFC" w14:textId="77777777" w:rsidR="00435617" w:rsidRPr="008D1746" w:rsidRDefault="00435617" w:rsidP="00435617">
      <w:pPr>
        <w:rPr>
          <w:lang w:val="en-US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435617" w:rsidRPr="008D1746" w14:paraId="5EC644ED" w14:textId="77777777" w:rsidTr="0079757A">
        <w:tc>
          <w:tcPr>
            <w:tcW w:w="2338" w:type="dxa"/>
          </w:tcPr>
          <w:p w14:paraId="7899BB58" w14:textId="77777777" w:rsidR="00435617" w:rsidRPr="008D1746" w:rsidRDefault="00435617" w:rsidP="003E36B7">
            <w:pPr>
              <w:suppressAutoHyphens/>
              <w:spacing w:line="262" w:lineRule="auto"/>
              <w:rPr>
                <w:spacing w:val="-3"/>
                <w:lang w:val="en-US"/>
              </w:rPr>
            </w:pPr>
            <w:r w:rsidRPr="008D1746">
              <w:rPr>
                <w:i/>
                <w:spacing w:val="-3"/>
                <w:lang w:val="en-US"/>
              </w:rPr>
              <w:t>Study title:</w:t>
            </w:r>
            <w:r w:rsidRPr="008D1746">
              <w:rPr>
                <w:spacing w:val="-3"/>
                <w:lang w:val="en-US"/>
              </w:rPr>
              <w:t xml:space="preserve"> </w:t>
            </w:r>
          </w:p>
          <w:p w14:paraId="3CB508D8" w14:textId="77777777" w:rsidR="00435617" w:rsidRPr="008D1746" w:rsidRDefault="00435617" w:rsidP="003E36B7">
            <w:pPr>
              <w:suppressAutoHyphens/>
              <w:spacing w:line="262" w:lineRule="auto"/>
              <w:rPr>
                <w:spacing w:val="-3"/>
                <w:lang w:val="en-US"/>
              </w:rPr>
            </w:pPr>
          </w:p>
        </w:tc>
        <w:tc>
          <w:tcPr>
            <w:tcW w:w="6874" w:type="dxa"/>
          </w:tcPr>
          <w:p w14:paraId="08211346" w14:textId="6E8FC908" w:rsidR="00435617" w:rsidRPr="0071658A" w:rsidRDefault="0093552D" w:rsidP="003E36B7">
            <w:pPr>
              <w:rPr>
                <w:lang w:val="en-US"/>
              </w:rPr>
            </w:pPr>
            <w:r>
              <w:rPr>
                <w:lang w:val="en-US"/>
              </w:rPr>
              <w:t>ISSP 201</w:t>
            </w:r>
            <w:r w:rsidR="000F2D29">
              <w:rPr>
                <w:lang w:val="en-US"/>
              </w:rPr>
              <w:t>7</w:t>
            </w:r>
            <w:r w:rsidR="00EB62EB">
              <w:rPr>
                <w:lang w:val="en-US"/>
              </w:rPr>
              <w:t xml:space="preserve"> – </w:t>
            </w:r>
            <w:r w:rsidR="000F2D29">
              <w:rPr>
                <w:lang w:val="en-US"/>
              </w:rPr>
              <w:t>Social Networks III</w:t>
            </w:r>
          </w:p>
          <w:p w14:paraId="77ED1EDF" w14:textId="77777777" w:rsidR="00435617" w:rsidRPr="008D1746" w:rsidRDefault="00435617" w:rsidP="003E36B7">
            <w:pPr>
              <w:rPr>
                <w:lang w:val="en-US"/>
              </w:rPr>
            </w:pPr>
          </w:p>
        </w:tc>
      </w:tr>
      <w:tr w:rsidR="0079757A" w:rsidRPr="00CD46D5" w14:paraId="6AA65790" w14:textId="77777777" w:rsidTr="0079757A">
        <w:tc>
          <w:tcPr>
            <w:tcW w:w="2338" w:type="dxa"/>
          </w:tcPr>
          <w:p w14:paraId="774F11EF" w14:textId="77777777" w:rsidR="0079757A" w:rsidRPr="008D1746" w:rsidRDefault="0079757A" w:rsidP="003E36B7">
            <w:pPr>
              <w:suppressAutoHyphens/>
              <w:spacing w:line="262" w:lineRule="auto"/>
              <w:rPr>
                <w:i/>
                <w:spacing w:val="-3"/>
                <w:lang w:val="en-US"/>
              </w:rPr>
            </w:pPr>
            <w:r w:rsidRPr="008D1746">
              <w:rPr>
                <w:i/>
                <w:spacing w:val="-3"/>
                <w:lang w:val="en-US"/>
              </w:rPr>
              <w:t>Fieldwork dates:</w:t>
            </w:r>
          </w:p>
          <w:p w14:paraId="2F6FF5DC" w14:textId="77777777" w:rsidR="0079757A" w:rsidRPr="008D1746" w:rsidRDefault="0079757A" w:rsidP="003E36B7">
            <w:pPr>
              <w:suppressAutoHyphens/>
              <w:spacing w:line="262" w:lineRule="auto"/>
              <w:rPr>
                <w:spacing w:val="-3"/>
                <w:lang w:val="en-US"/>
              </w:rPr>
            </w:pPr>
          </w:p>
        </w:tc>
        <w:tc>
          <w:tcPr>
            <w:tcW w:w="6874" w:type="dxa"/>
          </w:tcPr>
          <w:p w14:paraId="7537D275" w14:textId="2DE6E60D" w:rsidR="0079757A" w:rsidRPr="00CD46D5" w:rsidRDefault="005B7649" w:rsidP="007307F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7B549B">
              <w:rPr>
                <w:lang w:val="en-US"/>
              </w:rPr>
              <w:t>05-2017-0209</w:t>
            </w:r>
            <w:r w:rsidR="000F2D29">
              <w:rPr>
                <w:lang w:val="en-US"/>
              </w:rPr>
              <w:t>-2017</w:t>
            </w:r>
          </w:p>
          <w:p w14:paraId="7991D507" w14:textId="77777777" w:rsidR="0079757A" w:rsidRPr="00CD46D5" w:rsidRDefault="0079757A" w:rsidP="003E36B7">
            <w:pPr>
              <w:rPr>
                <w:lang w:val="en-US"/>
              </w:rPr>
            </w:pPr>
          </w:p>
        </w:tc>
      </w:tr>
      <w:tr w:rsidR="0079757A" w:rsidRPr="008D1746" w14:paraId="2383031F" w14:textId="77777777" w:rsidTr="0079757A">
        <w:tc>
          <w:tcPr>
            <w:tcW w:w="2338" w:type="dxa"/>
          </w:tcPr>
          <w:p w14:paraId="0A7A306B" w14:textId="77777777" w:rsidR="0079757A" w:rsidRDefault="0079757A" w:rsidP="003E36B7">
            <w:pPr>
              <w:suppressAutoHyphens/>
              <w:spacing w:line="262" w:lineRule="auto"/>
              <w:rPr>
                <w:spacing w:val="-3"/>
                <w:lang w:val="en-US"/>
              </w:rPr>
            </w:pPr>
            <w:r w:rsidRPr="008D1746">
              <w:rPr>
                <w:i/>
                <w:spacing w:val="-3"/>
                <w:lang w:val="en-US"/>
              </w:rPr>
              <w:t>Principal investigators:</w:t>
            </w:r>
          </w:p>
          <w:p w14:paraId="0CA02B14" w14:textId="77777777" w:rsidR="0079757A" w:rsidRPr="003E2F4A" w:rsidRDefault="0079757A" w:rsidP="003E2F4A">
            <w:pPr>
              <w:rPr>
                <w:lang w:val="en-US"/>
              </w:rPr>
            </w:pPr>
          </w:p>
          <w:p w14:paraId="77A14633" w14:textId="77777777" w:rsidR="0079757A" w:rsidRPr="003E2F4A" w:rsidRDefault="0079757A" w:rsidP="003E2F4A">
            <w:pPr>
              <w:rPr>
                <w:lang w:val="en-US"/>
              </w:rPr>
            </w:pPr>
          </w:p>
          <w:p w14:paraId="010F0B9E" w14:textId="77777777" w:rsidR="0079757A" w:rsidRPr="003E2F4A" w:rsidRDefault="0079757A" w:rsidP="003E2F4A">
            <w:pPr>
              <w:rPr>
                <w:lang w:val="en-US"/>
              </w:rPr>
            </w:pPr>
          </w:p>
          <w:p w14:paraId="393D4DE4" w14:textId="77777777" w:rsidR="0079757A" w:rsidRPr="003E2F4A" w:rsidRDefault="0079757A" w:rsidP="003E2F4A">
            <w:pPr>
              <w:rPr>
                <w:lang w:val="en-US"/>
              </w:rPr>
            </w:pPr>
          </w:p>
          <w:p w14:paraId="7FE20515" w14:textId="77777777" w:rsidR="0079757A" w:rsidRPr="003E2F4A" w:rsidRDefault="0079757A" w:rsidP="003E2F4A">
            <w:pPr>
              <w:rPr>
                <w:lang w:val="en-US"/>
              </w:rPr>
            </w:pPr>
          </w:p>
          <w:p w14:paraId="1CE9F975" w14:textId="77777777" w:rsidR="0079757A" w:rsidRPr="003E2F4A" w:rsidRDefault="0079757A" w:rsidP="003E2F4A">
            <w:pPr>
              <w:rPr>
                <w:lang w:val="en-US"/>
              </w:rPr>
            </w:pPr>
          </w:p>
          <w:p w14:paraId="5713B6AC" w14:textId="77777777" w:rsidR="0079757A" w:rsidRPr="003E2F4A" w:rsidRDefault="0079757A" w:rsidP="003E2F4A">
            <w:pPr>
              <w:rPr>
                <w:lang w:val="en-US"/>
              </w:rPr>
            </w:pPr>
          </w:p>
          <w:p w14:paraId="2A53D507" w14:textId="77777777" w:rsidR="0079757A" w:rsidRPr="003E2F4A" w:rsidRDefault="0079757A" w:rsidP="003E2F4A">
            <w:pPr>
              <w:rPr>
                <w:lang w:val="en-US"/>
              </w:rPr>
            </w:pPr>
          </w:p>
          <w:p w14:paraId="6D2040A3" w14:textId="77777777" w:rsidR="0079757A" w:rsidRPr="003E2F4A" w:rsidRDefault="0079757A" w:rsidP="003E2F4A">
            <w:pPr>
              <w:rPr>
                <w:lang w:val="en-US"/>
              </w:rPr>
            </w:pPr>
          </w:p>
          <w:p w14:paraId="095C97EB" w14:textId="77777777" w:rsidR="0079757A" w:rsidRPr="003E2F4A" w:rsidRDefault="0079757A" w:rsidP="003E2F4A">
            <w:pPr>
              <w:rPr>
                <w:lang w:val="en-US"/>
              </w:rPr>
            </w:pPr>
          </w:p>
          <w:p w14:paraId="403CB8A9" w14:textId="77777777" w:rsidR="0079757A" w:rsidRPr="003E2F4A" w:rsidRDefault="0079757A" w:rsidP="003E2F4A">
            <w:pPr>
              <w:rPr>
                <w:lang w:val="en-US"/>
              </w:rPr>
            </w:pPr>
          </w:p>
          <w:p w14:paraId="7484FE43" w14:textId="77777777" w:rsidR="0079757A" w:rsidRPr="003E2F4A" w:rsidRDefault="0079757A" w:rsidP="003E2F4A">
            <w:pPr>
              <w:rPr>
                <w:lang w:val="en-US"/>
              </w:rPr>
            </w:pPr>
          </w:p>
          <w:p w14:paraId="2D1B4C7F" w14:textId="77777777" w:rsidR="0079757A" w:rsidRPr="003E2F4A" w:rsidRDefault="0079757A" w:rsidP="003E2F4A">
            <w:pPr>
              <w:rPr>
                <w:lang w:val="en-US"/>
              </w:rPr>
            </w:pPr>
          </w:p>
          <w:p w14:paraId="0B527D3B" w14:textId="77777777" w:rsidR="0079757A" w:rsidRPr="003E2F4A" w:rsidRDefault="0079757A" w:rsidP="003E2F4A">
            <w:pPr>
              <w:rPr>
                <w:lang w:val="en-US"/>
              </w:rPr>
            </w:pPr>
          </w:p>
          <w:p w14:paraId="769AF2C8" w14:textId="77777777" w:rsidR="0079757A" w:rsidRDefault="0079757A" w:rsidP="0079757A">
            <w:pPr>
              <w:rPr>
                <w:lang w:val="en-US"/>
              </w:rPr>
            </w:pPr>
          </w:p>
          <w:p w14:paraId="3160E542" w14:textId="77777777" w:rsidR="0079757A" w:rsidRDefault="0079757A" w:rsidP="0079757A">
            <w:pPr>
              <w:rPr>
                <w:lang w:val="en-US"/>
              </w:rPr>
            </w:pPr>
          </w:p>
          <w:p w14:paraId="6D47DF87" w14:textId="77777777" w:rsidR="0079757A" w:rsidRDefault="0079757A" w:rsidP="003E2F4A">
            <w:pPr>
              <w:rPr>
                <w:lang w:val="en-US"/>
              </w:rPr>
            </w:pPr>
            <w:r>
              <w:rPr>
                <w:lang w:val="en-US"/>
              </w:rPr>
              <w:t>Other associated</w:t>
            </w:r>
          </w:p>
          <w:p w14:paraId="795733FA" w14:textId="77777777" w:rsidR="0079757A" w:rsidRPr="003E2F4A" w:rsidRDefault="0079757A" w:rsidP="003E2F4A">
            <w:pPr>
              <w:rPr>
                <w:lang w:val="en-US"/>
              </w:rPr>
            </w:pPr>
            <w:r>
              <w:rPr>
                <w:lang w:val="en-US"/>
              </w:rPr>
              <w:t>Participants:</w:t>
            </w:r>
          </w:p>
        </w:tc>
        <w:tc>
          <w:tcPr>
            <w:tcW w:w="6874" w:type="dxa"/>
          </w:tcPr>
          <w:p w14:paraId="2171FA6E" w14:textId="77777777" w:rsidR="0079757A" w:rsidRDefault="0079757A" w:rsidP="0066590D">
            <w:pPr>
              <w:rPr>
                <w:b/>
                <w:lang w:val="en-US"/>
              </w:rPr>
            </w:pPr>
            <w:r w:rsidRPr="008D1746">
              <w:rPr>
                <w:b/>
                <w:lang w:val="en-US"/>
              </w:rPr>
              <w:t>Aalborg University</w:t>
            </w:r>
          </w:p>
          <w:p w14:paraId="44DBC0A3" w14:textId="77777777" w:rsidR="00FB78EF" w:rsidRPr="008D1746" w:rsidRDefault="00FB78EF" w:rsidP="0066590D">
            <w:pPr>
              <w:rPr>
                <w:b/>
                <w:lang w:val="en-US"/>
              </w:rPr>
            </w:pPr>
          </w:p>
          <w:p w14:paraId="2CA10423" w14:textId="77777777" w:rsidR="0079757A" w:rsidRPr="008D1746" w:rsidRDefault="0079757A" w:rsidP="0066590D">
            <w:pPr>
              <w:rPr>
                <w:u w:val="single"/>
                <w:lang w:val="en-US"/>
              </w:rPr>
            </w:pPr>
            <w:r w:rsidRPr="008D1746">
              <w:rPr>
                <w:u w:val="single"/>
                <w:lang w:val="en-US"/>
              </w:rPr>
              <w:t xml:space="preserve">Department of </w:t>
            </w:r>
            <w:r>
              <w:rPr>
                <w:u w:val="single"/>
                <w:lang w:val="en-US"/>
              </w:rPr>
              <w:t>Political Science</w:t>
            </w:r>
            <w:r w:rsidRPr="008D1746">
              <w:rPr>
                <w:u w:val="single"/>
                <w:lang w:val="en-US"/>
              </w:rPr>
              <w:t xml:space="preserve">. </w:t>
            </w:r>
          </w:p>
          <w:p w14:paraId="382872B4" w14:textId="77777777" w:rsidR="0079757A" w:rsidRPr="008D1746" w:rsidRDefault="0079757A" w:rsidP="0066590D">
            <w:pPr>
              <w:rPr>
                <w:u w:val="single"/>
                <w:lang w:val="en-US"/>
              </w:rPr>
            </w:pPr>
            <w:proofErr w:type="spellStart"/>
            <w:r w:rsidRPr="008D1746">
              <w:rPr>
                <w:u w:val="single"/>
                <w:lang w:val="en-US"/>
              </w:rPr>
              <w:t>Fibigerstraede</w:t>
            </w:r>
            <w:proofErr w:type="spellEnd"/>
            <w:r w:rsidRPr="008D1746">
              <w:rPr>
                <w:u w:val="single"/>
                <w:lang w:val="en-US"/>
              </w:rPr>
              <w:t xml:space="preserve"> 1, 9220 DK-Aalborg </w:t>
            </w:r>
            <w:proofErr w:type="spellStart"/>
            <w:r w:rsidRPr="008D1746">
              <w:rPr>
                <w:u w:val="single"/>
                <w:lang w:val="en-US"/>
              </w:rPr>
              <w:t>Oe</w:t>
            </w:r>
            <w:proofErr w:type="spellEnd"/>
            <w:r w:rsidRPr="008D1746">
              <w:rPr>
                <w:u w:val="single"/>
                <w:lang w:val="en-US"/>
              </w:rPr>
              <w:t xml:space="preserve">: </w:t>
            </w:r>
          </w:p>
          <w:p w14:paraId="02C541E1" w14:textId="77777777" w:rsidR="0079757A" w:rsidRPr="008D1746" w:rsidRDefault="0079757A" w:rsidP="0066590D">
            <w:pPr>
              <w:rPr>
                <w:lang w:val="en-US"/>
              </w:rPr>
            </w:pPr>
          </w:p>
          <w:p w14:paraId="647D0A16" w14:textId="77777777" w:rsidR="0079757A" w:rsidRPr="008D1746" w:rsidRDefault="0079757A" w:rsidP="0066590D">
            <w:pPr>
              <w:rPr>
                <w:lang w:val="en-US"/>
              </w:rPr>
            </w:pPr>
            <w:r w:rsidRPr="008D1746">
              <w:rPr>
                <w:lang w:val="en-US"/>
              </w:rPr>
              <w:t xml:space="preserve">Associate prof. Sanne Lund Clement (Director of the Danish ISSP </w:t>
            </w:r>
            <w:proofErr w:type="spellStart"/>
            <w:r w:rsidRPr="008D1746">
              <w:rPr>
                <w:lang w:val="en-US"/>
              </w:rPr>
              <w:t>programme</w:t>
            </w:r>
            <w:proofErr w:type="spellEnd"/>
            <w:r w:rsidRPr="008D1746">
              <w:rPr>
                <w:lang w:val="en-US"/>
              </w:rPr>
              <w:t>)</w:t>
            </w:r>
          </w:p>
          <w:p w14:paraId="2BF8D46C" w14:textId="77777777" w:rsidR="0079757A" w:rsidRPr="008D1746" w:rsidRDefault="0079757A" w:rsidP="0066590D">
            <w:pPr>
              <w:rPr>
                <w:lang w:val="en-US"/>
              </w:rPr>
            </w:pPr>
            <w:r w:rsidRPr="008D1746">
              <w:rPr>
                <w:lang w:val="en-US"/>
              </w:rPr>
              <w:t>Associate prof. Johannes Andersen</w:t>
            </w:r>
          </w:p>
          <w:p w14:paraId="03FA0955" w14:textId="77777777" w:rsidR="0079757A" w:rsidRPr="008D1746" w:rsidRDefault="005D5A3B" w:rsidP="0066590D">
            <w:pPr>
              <w:rPr>
                <w:lang w:val="en-US"/>
              </w:rPr>
            </w:pPr>
            <w:r w:rsidRPr="008D1746">
              <w:rPr>
                <w:lang w:val="en-US"/>
              </w:rPr>
              <w:t>Ass</w:t>
            </w:r>
            <w:r>
              <w:rPr>
                <w:lang w:val="en-US"/>
              </w:rPr>
              <w:t>istant</w:t>
            </w:r>
            <w:r w:rsidRPr="008D1746">
              <w:rPr>
                <w:lang w:val="en-US"/>
              </w:rPr>
              <w:t xml:space="preserve"> </w:t>
            </w:r>
            <w:r w:rsidR="0079757A" w:rsidRPr="008D1746">
              <w:rPr>
                <w:lang w:val="en-US"/>
              </w:rPr>
              <w:t>prof. Ditte Shamshiri-Petersen</w:t>
            </w:r>
          </w:p>
          <w:p w14:paraId="2A44AA0B" w14:textId="77777777" w:rsidR="0079757A" w:rsidRPr="00497CA3" w:rsidRDefault="0079757A" w:rsidP="0066590D">
            <w:pPr>
              <w:rPr>
                <w:lang w:val="en-US"/>
              </w:rPr>
            </w:pPr>
            <w:r w:rsidRPr="00497CA3">
              <w:rPr>
                <w:lang w:val="en-US"/>
              </w:rPr>
              <w:t xml:space="preserve">Prof. </w:t>
            </w:r>
            <w:proofErr w:type="spellStart"/>
            <w:r w:rsidRPr="00497CA3">
              <w:rPr>
                <w:lang w:val="en-US"/>
              </w:rPr>
              <w:t>Jørgen</w:t>
            </w:r>
            <w:proofErr w:type="spellEnd"/>
            <w:r w:rsidRPr="00497CA3">
              <w:rPr>
                <w:lang w:val="en-US"/>
              </w:rPr>
              <w:t xml:space="preserve"> </w:t>
            </w:r>
            <w:proofErr w:type="spellStart"/>
            <w:r w:rsidRPr="00497CA3">
              <w:rPr>
                <w:lang w:val="en-US"/>
              </w:rPr>
              <w:t>Goul</w:t>
            </w:r>
            <w:proofErr w:type="spellEnd"/>
            <w:r w:rsidRPr="00497CA3">
              <w:rPr>
                <w:lang w:val="en-US"/>
              </w:rPr>
              <w:t xml:space="preserve"> Andersen </w:t>
            </w:r>
          </w:p>
          <w:p w14:paraId="1464E411" w14:textId="7A78134B" w:rsidR="005D0C16" w:rsidRPr="00497CA3" w:rsidRDefault="005D0C16" w:rsidP="0066590D">
            <w:pPr>
              <w:rPr>
                <w:lang w:val="en-US"/>
              </w:rPr>
            </w:pPr>
            <w:r w:rsidRPr="00497CA3">
              <w:rPr>
                <w:lang w:val="en-US"/>
              </w:rPr>
              <w:t xml:space="preserve">Prof. Christian </w:t>
            </w:r>
            <w:proofErr w:type="spellStart"/>
            <w:r w:rsidRPr="00497CA3">
              <w:rPr>
                <w:lang w:val="en-US"/>
              </w:rPr>
              <w:t>Albrekt</w:t>
            </w:r>
            <w:proofErr w:type="spellEnd"/>
            <w:r w:rsidRPr="00497CA3">
              <w:rPr>
                <w:lang w:val="en-US"/>
              </w:rPr>
              <w:t xml:space="preserve"> Larsen</w:t>
            </w:r>
          </w:p>
          <w:p w14:paraId="23318FC3" w14:textId="5121AFDF" w:rsidR="0079757A" w:rsidRPr="008D1746" w:rsidRDefault="00C735C9" w:rsidP="0066590D">
            <w:pPr>
              <w:rPr>
                <w:lang w:val="en-US"/>
              </w:rPr>
            </w:pPr>
            <w:r>
              <w:rPr>
                <w:lang w:val="en-US"/>
              </w:rPr>
              <w:t>Student Majbritt Christine Severin</w:t>
            </w:r>
          </w:p>
          <w:p w14:paraId="3F64F246" w14:textId="77777777" w:rsidR="00C735C9" w:rsidRPr="00F20897" w:rsidRDefault="00C735C9" w:rsidP="00CD46D5">
            <w:pPr>
              <w:rPr>
                <w:lang w:val="en-US"/>
              </w:rPr>
            </w:pPr>
            <w:r w:rsidRPr="00F20897">
              <w:rPr>
                <w:lang w:val="en-US"/>
              </w:rPr>
              <w:t xml:space="preserve">Student </w:t>
            </w:r>
            <w:r w:rsidR="00CD46D5" w:rsidRPr="00F20897">
              <w:rPr>
                <w:lang w:val="en-US"/>
              </w:rPr>
              <w:t xml:space="preserve">Alex </w:t>
            </w:r>
            <w:proofErr w:type="spellStart"/>
            <w:r w:rsidR="00CD46D5" w:rsidRPr="00F20897">
              <w:rPr>
                <w:lang w:val="en-US"/>
              </w:rPr>
              <w:t>Skøtt</w:t>
            </w:r>
            <w:proofErr w:type="spellEnd"/>
            <w:r w:rsidR="00CD46D5" w:rsidRPr="00F20897">
              <w:rPr>
                <w:lang w:val="en-US"/>
              </w:rPr>
              <w:t xml:space="preserve"> Nielsen</w:t>
            </w:r>
          </w:p>
          <w:p w14:paraId="1EAF3761" w14:textId="77777777" w:rsidR="0079757A" w:rsidRPr="00F20897" w:rsidRDefault="00CD46D5" w:rsidP="0066590D">
            <w:pPr>
              <w:rPr>
                <w:lang w:val="en-US"/>
              </w:rPr>
            </w:pPr>
            <w:r w:rsidRPr="00F20897">
              <w:rPr>
                <w:lang w:val="en-US"/>
              </w:rPr>
              <w:t>Student Nicolaj Borregaard</w:t>
            </w:r>
          </w:p>
          <w:p w14:paraId="42EC56CF" w14:textId="77777777" w:rsidR="0079757A" w:rsidRPr="00F20897" w:rsidRDefault="0079757A" w:rsidP="0066590D">
            <w:pPr>
              <w:rPr>
                <w:lang w:val="en-US"/>
              </w:rPr>
            </w:pPr>
          </w:p>
          <w:p w14:paraId="4D676A10" w14:textId="77777777" w:rsidR="00A572AF" w:rsidRDefault="00A572AF" w:rsidP="0066590D">
            <w:pPr>
              <w:rPr>
                <w:b/>
                <w:lang w:val="en-US"/>
              </w:rPr>
            </w:pPr>
          </w:p>
          <w:p w14:paraId="135CD7C2" w14:textId="77777777" w:rsidR="00A572AF" w:rsidRDefault="00A572AF" w:rsidP="0066590D">
            <w:pPr>
              <w:rPr>
                <w:b/>
                <w:lang w:val="en-US"/>
              </w:rPr>
            </w:pPr>
          </w:p>
          <w:p w14:paraId="6BCDEF30" w14:textId="77777777" w:rsidR="00A572AF" w:rsidRDefault="00A572AF" w:rsidP="0066590D">
            <w:pPr>
              <w:rPr>
                <w:b/>
                <w:lang w:val="en-US"/>
              </w:rPr>
            </w:pPr>
          </w:p>
          <w:p w14:paraId="7FCB237A" w14:textId="1A7674B1" w:rsidR="0079757A" w:rsidRPr="00A572AF" w:rsidRDefault="0079757A" w:rsidP="0066590D">
            <w:pPr>
              <w:rPr>
                <w:b/>
                <w:lang w:val="en-US"/>
              </w:rPr>
            </w:pPr>
            <w:r w:rsidRPr="00A572AF">
              <w:rPr>
                <w:b/>
                <w:lang w:val="en-US"/>
              </w:rPr>
              <w:t>Aalborg University</w:t>
            </w:r>
            <w:r w:rsidR="00A572AF">
              <w:rPr>
                <w:b/>
                <w:lang w:val="en-US"/>
              </w:rPr>
              <w:br/>
            </w:r>
          </w:p>
          <w:p w14:paraId="2F1D0F2F" w14:textId="77777777" w:rsidR="0079757A" w:rsidRPr="00A572AF" w:rsidRDefault="0079757A" w:rsidP="0066590D">
            <w:pPr>
              <w:rPr>
                <w:u w:val="single"/>
                <w:lang w:val="en-US"/>
              </w:rPr>
            </w:pPr>
            <w:r w:rsidRPr="00A572AF">
              <w:rPr>
                <w:u w:val="single"/>
                <w:lang w:val="en-US"/>
              </w:rPr>
              <w:t>Department of Political Science:</w:t>
            </w:r>
          </w:p>
          <w:p w14:paraId="5CCAFA29" w14:textId="77777777" w:rsidR="00A572AF" w:rsidRDefault="00A572AF" w:rsidP="0079757A">
            <w:pPr>
              <w:rPr>
                <w:lang w:val="en-US"/>
              </w:rPr>
            </w:pPr>
          </w:p>
          <w:p w14:paraId="08DC4E53" w14:textId="14B0C6E5" w:rsidR="0079757A" w:rsidRPr="008D1746" w:rsidRDefault="0079757A" w:rsidP="0079757A">
            <w:pPr>
              <w:rPr>
                <w:lang w:val="en-US"/>
              </w:rPr>
            </w:pPr>
            <w:r w:rsidRPr="008D1746">
              <w:rPr>
                <w:lang w:val="en-US"/>
              </w:rPr>
              <w:t xml:space="preserve">Associate prof. Henrik </w:t>
            </w:r>
            <w:proofErr w:type="spellStart"/>
            <w:r w:rsidRPr="008D1746">
              <w:rPr>
                <w:lang w:val="en-US"/>
              </w:rPr>
              <w:t>Lolle</w:t>
            </w:r>
            <w:proofErr w:type="spellEnd"/>
          </w:p>
          <w:p w14:paraId="7E1E6398" w14:textId="77777777" w:rsidR="0079757A" w:rsidRDefault="0079757A" w:rsidP="0079757A">
            <w:pPr>
              <w:rPr>
                <w:lang w:val="en-US"/>
              </w:rPr>
            </w:pPr>
          </w:p>
          <w:p w14:paraId="6EDFA937" w14:textId="77777777" w:rsidR="0079757A" w:rsidRPr="00A572AF" w:rsidRDefault="0079757A" w:rsidP="0079757A">
            <w:pPr>
              <w:rPr>
                <w:u w:val="single"/>
                <w:lang w:val="en-US"/>
              </w:rPr>
            </w:pPr>
            <w:r w:rsidRPr="00A572AF">
              <w:rPr>
                <w:u w:val="single"/>
                <w:lang w:val="en-US"/>
              </w:rPr>
              <w:t>Department of Sociology:</w:t>
            </w:r>
          </w:p>
          <w:p w14:paraId="71EBCEDC" w14:textId="77777777" w:rsidR="00A572AF" w:rsidRDefault="00A572AF" w:rsidP="0079757A">
            <w:pPr>
              <w:rPr>
                <w:lang w:val="en-US"/>
              </w:rPr>
            </w:pPr>
          </w:p>
          <w:p w14:paraId="156B8B82" w14:textId="77777777" w:rsidR="0079757A" w:rsidRPr="008D1746" w:rsidRDefault="005D5A3B" w:rsidP="0079757A">
            <w:pPr>
              <w:rPr>
                <w:lang w:val="en-US"/>
              </w:rPr>
            </w:pPr>
            <w:r>
              <w:rPr>
                <w:lang w:val="en-US"/>
              </w:rPr>
              <w:t xml:space="preserve">Assistant </w:t>
            </w:r>
            <w:r w:rsidR="0079757A">
              <w:rPr>
                <w:lang w:val="en-US"/>
              </w:rPr>
              <w:t xml:space="preserve">prof. Rasmus </w:t>
            </w:r>
            <w:proofErr w:type="spellStart"/>
            <w:r w:rsidR="0079757A">
              <w:rPr>
                <w:lang w:val="en-US"/>
              </w:rPr>
              <w:t>Møberg</w:t>
            </w:r>
            <w:proofErr w:type="spellEnd"/>
          </w:p>
          <w:p w14:paraId="59D3BCB0" w14:textId="77777777" w:rsidR="0079757A" w:rsidRPr="008D1746" w:rsidRDefault="0079757A" w:rsidP="0079757A">
            <w:pPr>
              <w:rPr>
                <w:lang w:val="en-US"/>
              </w:rPr>
            </w:pPr>
          </w:p>
          <w:p w14:paraId="2AFA8A33" w14:textId="77777777" w:rsidR="0079757A" w:rsidRPr="008D1746" w:rsidRDefault="0079757A" w:rsidP="0066590D">
            <w:pPr>
              <w:rPr>
                <w:lang w:val="en-US"/>
              </w:rPr>
            </w:pPr>
          </w:p>
          <w:p w14:paraId="68948D55" w14:textId="77777777" w:rsidR="0079757A" w:rsidRPr="008D1746" w:rsidRDefault="0079757A" w:rsidP="0066590D">
            <w:pPr>
              <w:rPr>
                <w:b/>
                <w:lang w:val="en-US"/>
              </w:rPr>
            </w:pPr>
            <w:r w:rsidRPr="008D1746">
              <w:rPr>
                <w:b/>
                <w:lang w:val="en-US"/>
              </w:rPr>
              <w:t>University of Aarhus</w:t>
            </w:r>
          </w:p>
          <w:p w14:paraId="25FEE8AC" w14:textId="77777777" w:rsidR="0079757A" w:rsidRDefault="0079757A" w:rsidP="0066590D">
            <w:pPr>
              <w:rPr>
                <w:lang w:val="en-US"/>
              </w:rPr>
            </w:pPr>
          </w:p>
          <w:p w14:paraId="3F30CC73" w14:textId="77777777" w:rsidR="0079757A" w:rsidRPr="008D1746" w:rsidRDefault="0079757A" w:rsidP="008D1746">
            <w:pPr>
              <w:rPr>
                <w:u w:val="single"/>
                <w:lang w:val="en-US"/>
              </w:rPr>
            </w:pPr>
            <w:r w:rsidRPr="008D1746">
              <w:rPr>
                <w:u w:val="single"/>
                <w:lang w:val="en-US"/>
              </w:rPr>
              <w:t xml:space="preserve">Department of </w:t>
            </w:r>
            <w:r>
              <w:rPr>
                <w:u w:val="single"/>
                <w:lang w:val="en-US"/>
              </w:rPr>
              <w:t>Education</w:t>
            </w:r>
          </w:p>
          <w:p w14:paraId="4E2039EF" w14:textId="77777777" w:rsidR="0079757A" w:rsidRPr="007B549B" w:rsidRDefault="0079757A" w:rsidP="008D1746">
            <w:pPr>
              <w:rPr>
                <w:u w:val="single"/>
                <w:lang w:val="en-US"/>
              </w:rPr>
            </w:pPr>
            <w:r w:rsidRPr="007B549B">
              <w:rPr>
                <w:u w:val="single"/>
                <w:lang w:val="en-US"/>
              </w:rPr>
              <w:t>DK-8000 Aarhus C:</w:t>
            </w:r>
          </w:p>
          <w:p w14:paraId="7E6BB133" w14:textId="77777777" w:rsidR="00A572AF" w:rsidRPr="007B549B" w:rsidRDefault="00A572AF" w:rsidP="008D1746">
            <w:pPr>
              <w:rPr>
                <w:lang w:val="en-US"/>
              </w:rPr>
            </w:pPr>
          </w:p>
          <w:p w14:paraId="5D2711CA" w14:textId="77777777" w:rsidR="0079757A" w:rsidRPr="007B549B" w:rsidRDefault="0079757A" w:rsidP="008D1746">
            <w:pPr>
              <w:rPr>
                <w:lang w:val="en-US"/>
              </w:rPr>
            </w:pPr>
            <w:r w:rsidRPr="007B549B">
              <w:rPr>
                <w:lang w:val="en-US"/>
              </w:rPr>
              <w:t xml:space="preserve">Prof. Mads Meier </w:t>
            </w:r>
            <w:proofErr w:type="spellStart"/>
            <w:r w:rsidRPr="007B549B">
              <w:rPr>
                <w:lang w:val="en-US"/>
              </w:rPr>
              <w:t>Jæger</w:t>
            </w:r>
            <w:proofErr w:type="spellEnd"/>
          </w:p>
          <w:p w14:paraId="3EE26A32" w14:textId="77777777" w:rsidR="0079757A" w:rsidRPr="007B549B" w:rsidRDefault="0079757A" w:rsidP="0066590D">
            <w:pPr>
              <w:rPr>
                <w:lang w:val="en-US"/>
              </w:rPr>
            </w:pPr>
          </w:p>
          <w:p w14:paraId="0F10C4A7" w14:textId="77777777" w:rsidR="0079757A" w:rsidRPr="008D1746" w:rsidRDefault="0079757A" w:rsidP="0066590D">
            <w:pPr>
              <w:rPr>
                <w:b/>
                <w:lang w:val="en-US"/>
              </w:rPr>
            </w:pPr>
            <w:r w:rsidRPr="008D1746">
              <w:rPr>
                <w:b/>
                <w:lang w:val="en-US"/>
              </w:rPr>
              <w:t>University of Copenhagen</w:t>
            </w:r>
          </w:p>
          <w:p w14:paraId="1154EEE5" w14:textId="77777777" w:rsidR="0079757A" w:rsidRPr="008D1746" w:rsidRDefault="0079757A" w:rsidP="0066590D">
            <w:pPr>
              <w:rPr>
                <w:u w:val="single"/>
                <w:lang w:val="en-US"/>
              </w:rPr>
            </w:pPr>
            <w:r w:rsidRPr="008D1746">
              <w:rPr>
                <w:u w:val="single"/>
                <w:lang w:val="en-US"/>
              </w:rPr>
              <w:t>Department of Sociology</w:t>
            </w:r>
          </w:p>
          <w:p w14:paraId="025D91D3" w14:textId="77777777" w:rsidR="0079757A" w:rsidRPr="008D1746" w:rsidRDefault="0079757A" w:rsidP="0066590D">
            <w:pPr>
              <w:rPr>
                <w:u w:val="single"/>
                <w:lang w:val="en-US"/>
              </w:rPr>
            </w:pPr>
            <w:proofErr w:type="spellStart"/>
            <w:r w:rsidRPr="008D1746">
              <w:rPr>
                <w:u w:val="single"/>
                <w:lang w:val="en-US"/>
              </w:rPr>
              <w:t>Linnésgade</w:t>
            </w:r>
            <w:proofErr w:type="spellEnd"/>
            <w:r w:rsidRPr="008D1746">
              <w:rPr>
                <w:u w:val="single"/>
                <w:lang w:val="en-US"/>
              </w:rPr>
              <w:t xml:space="preserve"> 22</w:t>
            </w:r>
          </w:p>
          <w:p w14:paraId="5AAFFBD4" w14:textId="77777777" w:rsidR="0079757A" w:rsidRPr="008D1746" w:rsidRDefault="0079757A" w:rsidP="0066590D">
            <w:pPr>
              <w:rPr>
                <w:u w:val="single"/>
                <w:lang w:val="en-US"/>
              </w:rPr>
            </w:pPr>
            <w:r w:rsidRPr="008D1746">
              <w:rPr>
                <w:u w:val="single"/>
                <w:lang w:val="en-US"/>
              </w:rPr>
              <w:t xml:space="preserve">DK-1361 Copenhagen K. </w:t>
            </w:r>
          </w:p>
          <w:p w14:paraId="2C5CEC5B" w14:textId="77777777" w:rsidR="0079757A" w:rsidRPr="008D1746" w:rsidRDefault="0079757A" w:rsidP="0066590D">
            <w:pPr>
              <w:rPr>
                <w:lang w:val="en-US"/>
              </w:rPr>
            </w:pPr>
          </w:p>
          <w:p w14:paraId="03E41E9A" w14:textId="77777777" w:rsidR="0079757A" w:rsidRPr="008D1746" w:rsidRDefault="0079757A" w:rsidP="0066590D">
            <w:pPr>
              <w:rPr>
                <w:lang w:val="en-US"/>
              </w:rPr>
            </w:pPr>
            <w:r w:rsidRPr="008D1746">
              <w:rPr>
                <w:lang w:val="en-US"/>
              </w:rPr>
              <w:t xml:space="preserve">Prof. Peter </w:t>
            </w:r>
            <w:proofErr w:type="spellStart"/>
            <w:r w:rsidRPr="008D1746">
              <w:rPr>
                <w:lang w:val="en-US"/>
              </w:rPr>
              <w:t>Gundelach</w:t>
            </w:r>
            <w:proofErr w:type="spellEnd"/>
          </w:p>
          <w:p w14:paraId="6176AE9E" w14:textId="77777777" w:rsidR="0079757A" w:rsidRPr="008D1746" w:rsidRDefault="0079757A" w:rsidP="0066590D">
            <w:pPr>
              <w:rPr>
                <w:lang w:val="en-US"/>
              </w:rPr>
            </w:pPr>
          </w:p>
          <w:p w14:paraId="2115D7D7" w14:textId="77777777" w:rsidR="0079757A" w:rsidRPr="008D1746" w:rsidRDefault="0079757A" w:rsidP="0066590D">
            <w:pPr>
              <w:rPr>
                <w:b/>
                <w:lang w:val="en-US"/>
              </w:rPr>
            </w:pPr>
            <w:r w:rsidRPr="008D1746">
              <w:rPr>
                <w:b/>
                <w:lang w:val="en-US"/>
              </w:rPr>
              <w:t>University of Southern Denmark</w:t>
            </w:r>
          </w:p>
          <w:p w14:paraId="5E0610EB" w14:textId="77777777" w:rsidR="0079757A" w:rsidRPr="008D1746" w:rsidRDefault="0079757A" w:rsidP="0066590D">
            <w:pPr>
              <w:rPr>
                <w:u w:val="single"/>
                <w:lang w:val="en-US"/>
              </w:rPr>
            </w:pPr>
            <w:r w:rsidRPr="008D1746">
              <w:rPr>
                <w:u w:val="single"/>
                <w:lang w:val="en-US"/>
              </w:rPr>
              <w:t>Department of Political Science</w:t>
            </w:r>
          </w:p>
          <w:p w14:paraId="29C401F5" w14:textId="77777777" w:rsidR="0079757A" w:rsidRPr="008D1746" w:rsidRDefault="0079757A" w:rsidP="0066590D">
            <w:pPr>
              <w:rPr>
                <w:u w:val="single"/>
                <w:lang w:val="en-US"/>
              </w:rPr>
            </w:pPr>
            <w:proofErr w:type="spellStart"/>
            <w:r w:rsidRPr="008D1746">
              <w:rPr>
                <w:u w:val="single"/>
                <w:lang w:val="en-US"/>
              </w:rPr>
              <w:t>Campusvej</w:t>
            </w:r>
            <w:proofErr w:type="spellEnd"/>
            <w:r w:rsidRPr="008D1746">
              <w:rPr>
                <w:u w:val="single"/>
                <w:lang w:val="en-US"/>
              </w:rPr>
              <w:t xml:space="preserve"> 55</w:t>
            </w:r>
          </w:p>
          <w:p w14:paraId="5F8BCDC6" w14:textId="77777777" w:rsidR="0079757A" w:rsidRPr="008D1746" w:rsidRDefault="0079757A" w:rsidP="0066590D">
            <w:pPr>
              <w:rPr>
                <w:u w:val="single"/>
                <w:lang w:val="en-US"/>
              </w:rPr>
            </w:pPr>
            <w:r w:rsidRPr="008D1746">
              <w:rPr>
                <w:u w:val="single"/>
                <w:lang w:val="en-US"/>
              </w:rPr>
              <w:t xml:space="preserve">DK-5230 Odense M. </w:t>
            </w:r>
          </w:p>
          <w:p w14:paraId="1162007F" w14:textId="77777777" w:rsidR="0079757A" w:rsidRPr="008D1746" w:rsidRDefault="0079757A" w:rsidP="0066590D">
            <w:pPr>
              <w:rPr>
                <w:lang w:val="en-US"/>
              </w:rPr>
            </w:pPr>
          </w:p>
          <w:p w14:paraId="77B9BA43" w14:textId="77777777" w:rsidR="0079757A" w:rsidRPr="008D1746" w:rsidRDefault="0079757A" w:rsidP="0066590D">
            <w:pPr>
              <w:rPr>
                <w:lang w:val="en-US"/>
              </w:rPr>
            </w:pPr>
            <w:r w:rsidRPr="008D1746">
              <w:rPr>
                <w:lang w:val="en-US"/>
              </w:rPr>
              <w:t xml:space="preserve">Associate prof.  Klaus </w:t>
            </w:r>
            <w:proofErr w:type="spellStart"/>
            <w:r w:rsidRPr="008D1746">
              <w:rPr>
                <w:lang w:val="en-US"/>
              </w:rPr>
              <w:t>Levinsen</w:t>
            </w:r>
            <w:proofErr w:type="spellEnd"/>
          </w:p>
          <w:p w14:paraId="2B2B8A09" w14:textId="77777777" w:rsidR="0079757A" w:rsidRPr="008D1746" w:rsidRDefault="0079757A" w:rsidP="0066590D">
            <w:pPr>
              <w:rPr>
                <w:lang w:val="en-US"/>
              </w:rPr>
            </w:pPr>
          </w:p>
          <w:p w14:paraId="405B521D" w14:textId="77777777" w:rsidR="00485CB5" w:rsidRDefault="00485CB5" w:rsidP="0066590D">
            <w:pPr>
              <w:rPr>
                <w:b/>
                <w:lang w:val="en-US"/>
              </w:rPr>
            </w:pPr>
          </w:p>
          <w:p w14:paraId="0A69EA05" w14:textId="77777777" w:rsidR="0079757A" w:rsidRPr="008D1746" w:rsidRDefault="0079757A" w:rsidP="0066590D">
            <w:pPr>
              <w:rPr>
                <w:b/>
                <w:lang w:val="en-US"/>
              </w:rPr>
            </w:pPr>
            <w:r w:rsidRPr="008D1746">
              <w:rPr>
                <w:b/>
                <w:lang w:val="en-US"/>
              </w:rPr>
              <w:t>The Danish National Institute of Social Research</w:t>
            </w:r>
          </w:p>
          <w:p w14:paraId="1C43803C" w14:textId="77777777" w:rsidR="0079757A" w:rsidRPr="008D1746" w:rsidRDefault="0079757A" w:rsidP="0066590D">
            <w:pPr>
              <w:rPr>
                <w:u w:val="single"/>
                <w:lang w:val="en-US"/>
              </w:rPr>
            </w:pPr>
            <w:r w:rsidRPr="008D1746">
              <w:rPr>
                <w:u w:val="single"/>
                <w:lang w:val="en-US"/>
              </w:rPr>
              <w:t>The Danish National Institute of Social Research</w:t>
            </w:r>
          </w:p>
          <w:p w14:paraId="649B3D09" w14:textId="77777777" w:rsidR="0079757A" w:rsidRPr="00F20897" w:rsidRDefault="0079757A" w:rsidP="0066590D">
            <w:pPr>
              <w:rPr>
                <w:u w:val="single"/>
                <w:lang w:val="da-DK"/>
              </w:rPr>
            </w:pPr>
            <w:r w:rsidRPr="00F20897">
              <w:rPr>
                <w:u w:val="single"/>
                <w:lang w:val="da-DK"/>
              </w:rPr>
              <w:t>Herluf Trolles Gade 11</w:t>
            </w:r>
          </w:p>
          <w:p w14:paraId="328167CC" w14:textId="77777777" w:rsidR="0079757A" w:rsidRPr="00F20897" w:rsidRDefault="0079757A" w:rsidP="0066590D">
            <w:pPr>
              <w:rPr>
                <w:u w:val="single"/>
                <w:lang w:val="da-DK"/>
              </w:rPr>
            </w:pPr>
            <w:r w:rsidRPr="00F20897">
              <w:rPr>
                <w:u w:val="single"/>
                <w:lang w:val="da-DK"/>
              </w:rPr>
              <w:t>DK-1052 Copenhagen K</w:t>
            </w:r>
          </w:p>
          <w:p w14:paraId="2977DBAC" w14:textId="77777777" w:rsidR="0079757A" w:rsidRPr="00F20897" w:rsidRDefault="0079757A" w:rsidP="0066590D">
            <w:pPr>
              <w:rPr>
                <w:lang w:val="da-DK"/>
              </w:rPr>
            </w:pPr>
          </w:p>
          <w:p w14:paraId="763311CC" w14:textId="77777777" w:rsidR="0079757A" w:rsidRPr="008D1746" w:rsidRDefault="0079757A" w:rsidP="0066590D">
            <w:pPr>
              <w:rPr>
                <w:lang w:val="en-US"/>
              </w:rPr>
            </w:pPr>
            <w:r w:rsidRPr="008D1746">
              <w:rPr>
                <w:lang w:val="en-US"/>
              </w:rPr>
              <w:t xml:space="preserve">Senior Researcher &amp; International Consultant </w:t>
            </w:r>
            <w:proofErr w:type="spellStart"/>
            <w:r w:rsidRPr="008D1746">
              <w:rPr>
                <w:lang w:val="en-US"/>
              </w:rPr>
              <w:t>Torben</w:t>
            </w:r>
            <w:proofErr w:type="spellEnd"/>
            <w:r w:rsidRPr="008D1746">
              <w:rPr>
                <w:lang w:val="en-US"/>
              </w:rPr>
              <w:t xml:space="preserve"> </w:t>
            </w:r>
            <w:proofErr w:type="spellStart"/>
            <w:r w:rsidRPr="008D1746">
              <w:rPr>
                <w:lang w:val="en-US"/>
              </w:rPr>
              <w:t>Fridberg</w:t>
            </w:r>
            <w:proofErr w:type="spellEnd"/>
          </w:p>
          <w:p w14:paraId="203EC7C8" w14:textId="77777777" w:rsidR="0079757A" w:rsidRPr="008D1746" w:rsidRDefault="0079757A" w:rsidP="0066590D">
            <w:pPr>
              <w:rPr>
                <w:lang w:val="en-US"/>
              </w:rPr>
            </w:pPr>
          </w:p>
        </w:tc>
      </w:tr>
      <w:tr w:rsidR="0079757A" w:rsidRPr="008D1746" w14:paraId="7957337B" w14:textId="77777777" w:rsidTr="0079757A">
        <w:tc>
          <w:tcPr>
            <w:tcW w:w="2338" w:type="dxa"/>
          </w:tcPr>
          <w:p w14:paraId="741B9054" w14:textId="77777777" w:rsidR="0079757A" w:rsidRPr="008D1746" w:rsidRDefault="0079757A" w:rsidP="003E36B7">
            <w:pPr>
              <w:suppressAutoHyphens/>
              <w:spacing w:line="262" w:lineRule="auto"/>
              <w:rPr>
                <w:i/>
                <w:spacing w:val="-3"/>
                <w:lang w:val="en-US"/>
              </w:rPr>
            </w:pPr>
            <w:r w:rsidRPr="008D1746">
              <w:rPr>
                <w:i/>
                <w:spacing w:val="-3"/>
                <w:lang w:val="en-US"/>
              </w:rPr>
              <w:lastRenderedPageBreak/>
              <w:t>Sample type:</w:t>
            </w:r>
          </w:p>
          <w:p w14:paraId="607CDF13" w14:textId="77777777" w:rsidR="0079757A" w:rsidRPr="008D1746" w:rsidRDefault="0079757A" w:rsidP="003E36B7">
            <w:pPr>
              <w:suppressAutoHyphens/>
              <w:spacing w:line="262" w:lineRule="auto"/>
              <w:rPr>
                <w:spacing w:val="-3"/>
                <w:lang w:val="en-US"/>
              </w:rPr>
            </w:pPr>
          </w:p>
        </w:tc>
        <w:tc>
          <w:tcPr>
            <w:tcW w:w="6874" w:type="dxa"/>
          </w:tcPr>
          <w:p w14:paraId="6DEA4E9B" w14:textId="77777777" w:rsidR="0079757A" w:rsidRDefault="0079757A" w:rsidP="002462A3">
            <w:pPr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 w:rsidRPr="001F14D9">
              <w:rPr>
                <w:szCs w:val="24"/>
                <w:lang w:val="en-US" w:eastAsia="en-US"/>
              </w:rPr>
              <w:t xml:space="preserve">Sampling-procedure: A representative sample (simple random sample) was drawn from the Central Population Register (CPR) –which is a national register of all Danish citizens – from which respondent’s name and address were identified. Thus, the sampled unit was ’named individuals’. </w:t>
            </w:r>
          </w:p>
          <w:p w14:paraId="3463F267" w14:textId="5336871D" w:rsidR="00DD3052" w:rsidRPr="002462A3" w:rsidRDefault="00DD3052" w:rsidP="002462A3">
            <w:pPr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</w:p>
        </w:tc>
      </w:tr>
      <w:tr w:rsidR="0079757A" w:rsidRPr="008D1746" w14:paraId="137E1500" w14:textId="77777777" w:rsidTr="0079757A">
        <w:tc>
          <w:tcPr>
            <w:tcW w:w="2338" w:type="dxa"/>
          </w:tcPr>
          <w:p w14:paraId="215EDC43" w14:textId="77777777" w:rsidR="0079757A" w:rsidRPr="008D1746" w:rsidRDefault="0079757A" w:rsidP="003E36B7">
            <w:pPr>
              <w:suppressAutoHyphens/>
              <w:spacing w:line="262" w:lineRule="auto"/>
              <w:rPr>
                <w:i/>
                <w:spacing w:val="-3"/>
                <w:lang w:val="en-US"/>
              </w:rPr>
            </w:pPr>
            <w:r w:rsidRPr="008D1746">
              <w:rPr>
                <w:i/>
                <w:spacing w:val="-3"/>
                <w:lang w:val="en-US"/>
              </w:rPr>
              <w:t>Fieldwork institute:</w:t>
            </w:r>
          </w:p>
          <w:p w14:paraId="4F34C371" w14:textId="77777777" w:rsidR="0079757A" w:rsidRPr="008D1746" w:rsidRDefault="0079757A" w:rsidP="003E36B7">
            <w:pPr>
              <w:suppressAutoHyphens/>
              <w:spacing w:line="262" w:lineRule="auto"/>
              <w:rPr>
                <w:spacing w:val="-3"/>
                <w:lang w:val="en-US"/>
              </w:rPr>
            </w:pPr>
          </w:p>
        </w:tc>
        <w:tc>
          <w:tcPr>
            <w:tcW w:w="6874" w:type="dxa"/>
          </w:tcPr>
          <w:p w14:paraId="363A9C5E" w14:textId="77777777" w:rsidR="0079757A" w:rsidRPr="008D1746" w:rsidRDefault="0079757A" w:rsidP="003E36B7">
            <w:pPr>
              <w:rPr>
                <w:lang w:val="en-US"/>
              </w:rPr>
            </w:pPr>
            <w:r w:rsidRPr="008D1746">
              <w:rPr>
                <w:lang w:val="en-US"/>
              </w:rPr>
              <w:t>Rambøll Denmark A/S</w:t>
            </w:r>
          </w:p>
          <w:p w14:paraId="018DA595" w14:textId="77777777" w:rsidR="0079757A" w:rsidRPr="008D1746" w:rsidRDefault="0079757A" w:rsidP="003E36B7">
            <w:pPr>
              <w:rPr>
                <w:rStyle w:val="clsteaserboxbody"/>
                <w:lang w:val="en-US"/>
              </w:rPr>
            </w:pPr>
            <w:proofErr w:type="spellStart"/>
            <w:r w:rsidRPr="008D1746">
              <w:rPr>
                <w:rStyle w:val="clsteaserboxbody"/>
                <w:lang w:val="en-US"/>
              </w:rPr>
              <w:t>Hannemanns</w:t>
            </w:r>
            <w:proofErr w:type="spellEnd"/>
            <w:r w:rsidRPr="008D1746">
              <w:rPr>
                <w:rStyle w:val="clsteaserboxbody"/>
                <w:lang w:val="en-US"/>
              </w:rPr>
              <w:t xml:space="preserve"> </w:t>
            </w:r>
            <w:proofErr w:type="spellStart"/>
            <w:r w:rsidRPr="008D1746">
              <w:rPr>
                <w:rStyle w:val="clsteaserboxbody"/>
                <w:lang w:val="en-US"/>
              </w:rPr>
              <w:t>Allé</w:t>
            </w:r>
            <w:proofErr w:type="spellEnd"/>
            <w:r w:rsidRPr="008D1746">
              <w:rPr>
                <w:rStyle w:val="clsteaserboxbody"/>
                <w:lang w:val="en-US"/>
              </w:rPr>
              <w:t xml:space="preserve"> 53</w:t>
            </w:r>
            <w:r w:rsidRPr="008D1746">
              <w:rPr>
                <w:lang w:val="en-US"/>
              </w:rPr>
              <w:br/>
            </w:r>
            <w:r w:rsidRPr="008D1746">
              <w:rPr>
                <w:rStyle w:val="clsteaserboxbody"/>
                <w:lang w:val="en-US"/>
              </w:rPr>
              <w:t xml:space="preserve">DK-2300 </w:t>
            </w:r>
            <w:proofErr w:type="spellStart"/>
            <w:r w:rsidRPr="008D1746">
              <w:rPr>
                <w:rStyle w:val="clsteaserboxbody"/>
                <w:lang w:val="en-US"/>
              </w:rPr>
              <w:t>København</w:t>
            </w:r>
            <w:proofErr w:type="spellEnd"/>
            <w:r w:rsidRPr="008D1746">
              <w:rPr>
                <w:rStyle w:val="clsteaserboxbody"/>
                <w:lang w:val="en-US"/>
              </w:rPr>
              <w:t xml:space="preserve"> S</w:t>
            </w:r>
          </w:p>
          <w:p w14:paraId="3215FA08" w14:textId="77777777" w:rsidR="0079757A" w:rsidRPr="008D1746" w:rsidRDefault="0079757A" w:rsidP="003E36B7">
            <w:pPr>
              <w:rPr>
                <w:lang w:val="en-US"/>
              </w:rPr>
            </w:pPr>
            <w:r w:rsidRPr="008D1746">
              <w:rPr>
                <w:rStyle w:val="clsteaserboxbody"/>
                <w:lang w:val="en-US"/>
              </w:rPr>
              <w:t>T +45 5161 1000 - F +45 5161 1001</w:t>
            </w:r>
            <w:r w:rsidRPr="008D1746">
              <w:rPr>
                <w:lang w:val="en-US"/>
              </w:rPr>
              <w:br/>
            </w:r>
            <w:r w:rsidRPr="008D1746">
              <w:rPr>
                <w:rStyle w:val="clsteaserboxbody"/>
                <w:lang w:val="en-US"/>
              </w:rPr>
              <w:t>E </w:t>
            </w:r>
            <w:hyperlink r:id="rId8" w:history="1">
              <w:r w:rsidRPr="008D1746">
                <w:rPr>
                  <w:rStyle w:val="Hyperlink"/>
                  <w:lang w:val="en-US"/>
                </w:rPr>
                <w:t>ramboll@ramboll.dk</w:t>
              </w:r>
            </w:hyperlink>
            <w:r w:rsidRPr="008D1746">
              <w:rPr>
                <w:lang w:val="en-US"/>
              </w:rPr>
              <w:br/>
            </w:r>
            <w:r w:rsidRPr="008D1746">
              <w:rPr>
                <w:rStyle w:val="clsteaserboxbody"/>
                <w:lang w:val="en-US"/>
              </w:rPr>
              <w:t>W </w:t>
            </w:r>
            <w:hyperlink r:id="rId9" w:tgtFrame="_blank" w:history="1">
              <w:r w:rsidRPr="008D1746">
                <w:rPr>
                  <w:rStyle w:val="Hyperlink"/>
                  <w:lang w:val="en-US"/>
                </w:rPr>
                <w:t>www.ramboll.dk</w:t>
              </w:r>
            </w:hyperlink>
          </w:p>
          <w:p w14:paraId="1025C187" w14:textId="77777777" w:rsidR="0079757A" w:rsidRPr="008D1746" w:rsidRDefault="0079757A" w:rsidP="003E36B7">
            <w:pPr>
              <w:rPr>
                <w:lang w:val="en-US"/>
              </w:rPr>
            </w:pPr>
          </w:p>
        </w:tc>
      </w:tr>
      <w:tr w:rsidR="0079757A" w:rsidRPr="008D1746" w14:paraId="72E3EC07" w14:textId="77777777" w:rsidTr="0079757A">
        <w:tc>
          <w:tcPr>
            <w:tcW w:w="2338" w:type="dxa"/>
          </w:tcPr>
          <w:p w14:paraId="66F85EA0" w14:textId="77777777" w:rsidR="0079757A" w:rsidRPr="008D1746" w:rsidRDefault="0079757A" w:rsidP="003E36B7">
            <w:pPr>
              <w:suppressAutoHyphens/>
              <w:spacing w:line="262" w:lineRule="auto"/>
              <w:rPr>
                <w:i/>
                <w:spacing w:val="-3"/>
                <w:lang w:val="en-US"/>
              </w:rPr>
            </w:pPr>
            <w:r w:rsidRPr="008D1746">
              <w:rPr>
                <w:i/>
                <w:spacing w:val="-3"/>
                <w:lang w:val="en-US"/>
              </w:rPr>
              <w:t>Fieldwork methods:</w:t>
            </w:r>
          </w:p>
          <w:p w14:paraId="61531C77" w14:textId="77777777" w:rsidR="0079757A" w:rsidRPr="008D1746" w:rsidRDefault="0079757A" w:rsidP="003E36B7">
            <w:pPr>
              <w:suppressAutoHyphens/>
              <w:spacing w:line="262" w:lineRule="auto"/>
              <w:rPr>
                <w:spacing w:val="-3"/>
                <w:lang w:val="en-US"/>
              </w:rPr>
            </w:pPr>
          </w:p>
        </w:tc>
        <w:tc>
          <w:tcPr>
            <w:tcW w:w="6874" w:type="dxa"/>
          </w:tcPr>
          <w:p w14:paraId="224D25DB" w14:textId="6D0456D9" w:rsidR="00CF1661" w:rsidRPr="00F54B82" w:rsidRDefault="00F16A07" w:rsidP="003E2F4A">
            <w:pPr>
              <w:rPr>
                <w:szCs w:val="24"/>
                <w:u w:val="single"/>
                <w:lang w:val="en-US"/>
              </w:rPr>
            </w:pPr>
            <w:r w:rsidRPr="00F54B82">
              <w:rPr>
                <w:szCs w:val="24"/>
                <w:u w:val="single"/>
                <w:lang w:val="en-US"/>
              </w:rPr>
              <w:t>D</w:t>
            </w:r>
            <w:r w:rsidR="005B7649" w:rsidRPr="00F54B82">
              <w:rPr>
                <w:szCs w:val="24"/>
                <w:u w:val="single"/>
                <w:lang w:val="en-US"/>
              </w:rPr>
              <w:t>ata collection</w:t>
            </w:r>
            <w:r w:rsidR="00CF1661" w:rsidRPr="00F54B82">
              <w:rPr>
                <w:szCs w:val="24"/>
                <w:u w:val="single"/>
                <w:lang w:val="en-US"/>
              </w:rPr>
              <w:t>:</w:t>
            </w:r>
          </w:p>
          <w:p w14:paraId="04B203AD" w14:textId="51365E5A" w:rsidR="00CF1661" w:rsidRPr="007B549B" w:rsidRDefault="005B7649" w:rsidP="00CF1661">
            <w:pPr>
              <w:rPr>
                <w:szCs w:val="24"/>
                <w:lang w:val="en-US"/>
              </w:rPr>
            </w:pPr>
            <w:r w:rsidRPr="007B549B">
              <w:rPr>
                <w:szCs w:val="24"/>
                <w:lang w:val="en-US" w:eastAsia="nb-NO"/>
              </w:rPr>
              <w:t xml:space="preserve">May 15 </w:t>
            </w:r>
            <w:r w:rsidRPr="007B549B">
              <w:rPr>
                <w:szCs w:val="24"/>
                <w:lang w:eastAsia="nb-NO"/>
              </w:rPr>
              <w:t>–</w:t>
            </w:r>
            <w:r w:rsidR="00CF1661" w:rsidRPr="007B549B">
              <w:rPr>
                <w:szCs w:val="24"/>
                <w:lang w:eastAsia="nb-NO"/>
              </w:rPr>
              <w:t xml:space="preserve"> </w:t>
            </w:r>
            <w:r w:rsidR="007B549B" w:rsidRPr="007B549B">
              <w:rPr>
                <w:szCs w:val="24"/>
              </w:rPr>
              <w:t xml:space="preserve">digital </w:t>
            </w:r>
            <w:proofErr w:type="spellStart"/>
            <w:r w:rsidR="007B549B" w:rsidRPr="007B549B">
              <w:rPr>
                <w:szCs w:val="24"/>
              </w:rPr>
              <w:t>mails</w:t>
            </w:r>
            <w:proofErr w:type="spellEnd"/>
            <w:r w:rsidR="007B549B" w:rsidRPr="007B549B">
              <w:rPr>
                <w:szCs w:val="24"/>
              </w:rPr>
              <w:t xml:space="preserve"> </w:t>
            </w:r>
            <w:proofErr w:type="spellStart"/>
            <w:r w:rsidR="007B549B" w:rsidRPr="007B549B">
              <w:rPr>
                <w:szCs w:val="24"/>
              </w:rPr>
              <w:t>were</w:t>
            </w:r>
            <w:proofErr w:type="spellEnd"/>
            <w:r w:rsidR="007B549B" w:rsidRPr="007B549B">
              <w:rPr>
                <w:szCs w:val="24"/>
              </w:rPr>
              <w:t xml:space="preserve"> </w:t>
            </w:r>
            <w:proofErr w:type="spellStart"/>
            <w:r w:rsidR="007B549B" w:rsidRPr="007B549B">
              <w:rPr>
                <w:szCs w:val="24"/>
              </w:rPr>
              <w:t>sent</w:t>
            </w:r>
            <w:proofErr w:type="spellEnd"/>
            <w:r w:rsidR="007B549B" w:rsidRPr="007B549B">
              <w:rPr>
                <w:szCs w:val="24"/>
              </w:rPr>
              <w:t xml:space="preserve"> </w:t>
            </w:r>
            <w:proofErr w:type="spellStart"/>
            <w:r w:rsidR="007B549B" w:rsidRPr="007B549B">
              <w:rPr>
                <w:szCs w:val="24"/>
              </w:rPr>
              <w:t>to</w:t>
            </w:r>
            <w:proofErr w:type="spellEnd"/>
            <w:r w:rsidR="007B549B" w:rsidRPr="007B549B">
              <w:rPr>
                <w:szCs w:val="24"/>
              </w:rPr>
              <w:t xml:space="preserve"> </w:t>
            </w:r>
            <w:proofErr w:type="spellStart"/>
            <w:r w:rsidR="007B549B" w:rsidRPr="007B549B">
              <w:rPr>
                <w:szCs w:val="24"/>
              </w:rPr>
              <w:t>the</w:t>
            </w:r>
            <w:proofErr w:type="spellEnd"/>
            <w:r w:rsidR="007B549B" w:rsidRPr="007B549B">
              <w:rPr>
                <w:szCs w:val="24"/>
              </w:rPr>
              <w:t xml:space="preserve"> </w:t>
            </w:r>
            <w:proofErr w:type="spellStart"/>
            <w:r w:rsidR="007B549B" w:rsidRPr="007B549B">
              <w:rPr>
                <w:szCs w:val="24"/>
              </w:rPr>
              <w:t>respondents</w:t>
            </w:r>
            <w:proofErr w:type="spellEnd"/>
            <w:r w:rsidR="007B549B" w:rsidRPr="007B549B">
              <w:rPr>
                <w:szCs w:val="24"/>
              </w:rPr>
              <w:t xml:space="preserve"> </w:t>
            </w:r>
            <w:proofErr w:type="spellStart"/>
            <w:r w:rsidR="007B549B" w:rsidRPr="007B549B">
              <w:rPr>
                <w:szCs w:val="24"/>
              </w:rPr>
              <w:t>through</w:t>
            </w:r>
            <w:proofErr w:type="spellEnd"/>
            <w:r w:rsidR="007B549B" w:rsidRPr="007B549B">
              <w:rPr>
                <w:szCs w:val="24"/>
              </w:rPr>
              <w:t xml:space="preserve"> E-</w:t>
            </w:r>
            <w:proofErr w:type="spellStart"/>
            <w:r w:rsidR="007B549B" w:rsidRPr="007B549B">
              <w:rPr>
                <w:szCs w:val="24"/>
              </w:rPr>
              <w:t>boks</w:t>
            </w:r>
            <w:proofErr w:type="spellEnd"/>
            <w:r w:rsidR="007B549B" w:rsidRPr="007B549B">
              <w:rPr>
                <w:szCs w:val="24"/>
              </w:rPr>
              <w:t xml:space="preserve"> </w:t>
            </w:r>
            <w:proofErr w:type="spellStart"/>
            <w:r w:rsidR="007B549B" w:rsidRPr="007B549B">
              <w:rPr>
                <w:szCs w:val="24"/>
              </w:rPr>
              <w:t>wh</w:t>
            </w:r>
            <w:r w:rsidR="007B549B" w:rsidRPr="007B549B">
              <w:rPr>
                <w:szCs w:val="24"/>
                <w:lang w:val="en-US"/>
              </w:rPr>
              <w:t>ich</w:t>
            </w:r>
            <w:proofErr w:type="spellEnd"/>
            <w:r w:rsidR="007B549B" w:rsidRPr="007B549B">
              <w:rPr>
                <w:szCs w:val="24"/>
                <w:lang w:val="en-US"/>
              </w:rPr>
              <w:t xml:space="preserve"> is a digital mailbox. The mail contained a link to a web questionnaire.</w:t>
            </w:r>
          </w:p>
          <w:p w14:paraId="6F3FD21F" w14:textId="0309B687" w:rsidR="007B549B" w:rsidRPr="007B549B" w:rsidRDefault="007B549B" w:rsidP="00CF1661">
            <w:pPr>
              <w:rPr>
                <w:szCs w:val="24"/>
                <w:lang w:val="en-US" w:eastAsia="nb-NO"/>
              </w:rPr>
            </w:pPr>
            <w:r w:rsidRPr="007B549B">
              <w:rPr>
                <w:szCs w:val="24"/>
                <w:lang w:val="en-US" w:eastAsia="nb-NO"/>
              </w:rPr>
              <w:t>May 29-September 2</w:t>
            </w:r>
            <w:r w:rsidR="00CF1661" w:rsidRPr="007B549B">
              <w:rPr>
                <w:szCs w:val="24"/>
                <w:lang w:val="en-US" w:eastAsia="nb-NO"/>
              </w:rPr>
              <w:t xml:space="preserve"> </w:t>
            </w:r>
            <w:r w:rsidR="005B7649" w:rsidRPr="007B549B">
              <w:rPr>
                <w:szCs w:val="24"/>
                <w:lang w:val="en-US" w:eastAsia="nb-NO"/>
              </w:rPr>
              <w:t>–</w:t>
            </w:r>
            <w:r w:rsidR="00CF1661" w:rsidRPr="007B549B">
              <w:rPr>
                <w:szCs w:val="24"/>
                <w:lang w:val="en-US" w:eastAsia="nb-NO"/>
              </w:rPr>
              <w:t xml:space="preserve"> </w:t>
            </w:r>
            <w:r w:rsidR="005B7649" w:rsidRPr="007B549B">
              <w:rPr>
                <w:szCs w:val="24"/>
                <w:lang w:val="en-US" w:eastAsia="nb-NO"/>
              </w:rPr>
              <w:t xml:space="preserve">Follow-up phone calls, encourage </w:t>
            </w:r>
            <w:r w:rsidRPr="007B549B">
              <w:rPr>
                <w:szCs w:val="24"/>
                <w:lang w:val="en-US" w:eastAsia="nb-NO"/>
              </w:rPr>
              <w:t>to answer the web questionnaire. During this period mail</w:t>
            </w:r>
            <w:r>
              <w:rPr>
                <w:szCs w:val="24"/>
                <w:lang w:val="en-US" w:eastAsia="nb-NO"/>
              </w:rPr>
              <w:t xml:space="preserve"> </w:t>
            </w:r>
            <w:r w:rsidRPr="007B549B">
              <w:rPr>
                <w:szCs w:val="24"/>
                <w:lang w:val="en-US" w:eastAsia="nb-NO"/>
              </w:rPr>
              <w:t xml:space="preserve">addresses for non-responding respondents were collected. Follow-up mails were sent to </w:t>
            </w:r>
            <w:r>
              <w:rPr>
                <w:szCs w:val="24"/>
                <w:lang w:val="en-US" w:eastAsia="nb-NO"/>
              </w:rPr>
              <w:t xml:space="preserve">respondents, who were not be reached by phone. </w:t>
            </w:r>
          </w:p>
          <w:p w14:paraId="48B56B58" w14:textId="4CC48F8B" w:rsidR="00E16C13" w:rsidRPr="008D1746" w:rsidRDefault="00E16C13" w:rsidP="0071658A">
            <w:pPr>
              <w:rPr>
                <w:lang w:val="en-US"/>
              </w:rPr>
            </w:pPr>
          </w:p>
        </w:tc>
      </w:tr>
      <w:tr w:rsidR="0079757A" w:rsidRPr="008D1746" w14:paraId="46F3D83C" w14:textId="77777777" w:rsidTr="0079757A">
        <w:tc>
          <w:tcPr>
            <w:tcW w:w="2338" w:type="dxa"/>
          </w:tcPr>
          <w:p w14:paraId="2CE2B950" w14:textId="77777777" w:rsidR="0079757A" w:rsidRPr="008D1746" w:rsidRDefault="0079757A" w:rsidP="003E36B7">
            <w:pPr>
              <w:suppressAutoHyphens/>
              <w:spacing w:line="262" w:lineRule="auto"/>
              <w:rPr>
                <w:spacing w:val="-3"/>
                <w:lang w:val="en-US"/>
              </w:rPr>
            </w:pPr>
            <w:r w:rsidRPr="008D1746">
              <w:rPr>
                <w:i/>
                <w:spacing w:val="-3"/>
                <w:lang w:val="en-US"/>
              </w:rPr>
              <w:t>N. of respondents:</w:t>
            </w:r>
          </w:p>
        </w:tc>
        <w:tc>
          <w:tcPr>
            <w:tcW w:w="6874" w:type="dxa"/>
          </w:tcPr>
          <w:p w14:paraId="10EBF3C7" w14:textId="2EE079A6" w:rsidR="0079757A" w:rsidRPr="008D1746" w:rsidRDefault="0079757A" w:rsidP="003E36B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C0448">
              <w:rPr>
                <w:lang w:val="en-US"/>
              </w:rPr>
              <w:t>079</w:t>
            </w:r>
          </w:p>
        </w:tc>
      </w:tr>
    </w:tbl>
    <w:p w14:paraId="13BB3F74" w14:textId="77777777" w:rsidR="00435617" w:rsidRPr="008D1746" w:rsidRDefault="00435617" w:rsidP="00435617">
      <w:pPr>
        <w:rPr>
          <w:lang w:val="en-U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864"/>
        <w:gridCol w:w="1931"/>
        <w:gridCol w:w="44"/>
      </w:tblGrid>
      <w:tr w:rsidR="00477845" w:rsidRPr="008D1746" w14:paraId="33FF1DCD" w14:textId="77777777">
        <w:tc>
          <w:tcPr>
            <w:tcW w:w="13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7E0DD3" w14:textId="77777777" w:rsidR="00821B22" w:rsidRPr="00E74243" w:rsidRDefault="00821B22" w:rsidP="00821B22">
            <w:pPr>
              <w:jc w:val="center"/>
              <w:rPr>
                <w:i/>
                <w:lang w:val="en-US"/>
              </w:rPr>
            </w:pPr>
            <w:r w:rsidRPr="00E74243">
              <w:rPr>
                <w:i/>
                <w:lang w:val="en-US"/>
              </w:rPr>
              <w:t>Details</w:t>
            </w:r>
            <w:r w:rsidR="00F135C5" w:rsidRPr="00E74243">
              <w:rPr>
                <w:i/>
                <w:lang w:val="en-US"/>
              </w:rPr>
              <w:t xml:space="preserve"> about </w:t>
            </w:r>
            <w:r w:rsidRPr="00E74243">
              <w:rPr>
                <w:i/>
                <w:lang w:val="en-US"/>
              </w:rPr>
              <w:t>issued sample:</w:t>
            </w:r>
          </w:p>
          <w:p w14:paraId="2BE51279" w14:textId="77777777" w:rsidR="00821B22" w:rsidRPr="00E74243" w:rsidRDefault="00821B22" w:rsidP="00821B22">
            <w:pPr>
              <w:jc w:val="center"/>
              <w:rPr>
                <w:i/>
                <w:lang w:val="en-US"/>
              </w:rPr>
            </w:pPr>
          </w:p>
          <w:p w14:paraId="0E0275FD" w14:textId="77777777" w:rsidR="00477845" w:rsidRPr="00CD46D5" w:rsidRDefault="00F135C5" w:rsidP="00821B22">
            <w:pPr>
              <w:pStyle w:val="Opstilling-punkttegn"/>
              <w:numPr>
                <w:ilvl w:val="0"/>
                <w:numId w:val="0"/>
              </w:numPr>
              <w:rPr>
                <w:color w:val="FF0000"/>
                <w:lang w:val="en-US"/>
              </w:rPr>
            </w:pPr>
            <w:r w:rsidRPr="00E74243">
              <w:rPr>
                <w:lang w:val="en-US"/>
              </w:rPr>
              <w:t xml:space="preserve">Please follow the standards laid down in AAPOR/WAPOR, Standard Definitions: </w:t>
            </w:r>
            <w:hyperlink r:id="rId10" w:history="1">
              <w:r w:rsidR="00742AE5" w:rsidRPr="00E74243">
                <w:rPr>
                  <w:rStyle w:val="Hyperlink"/>
                  <w:color w:val="auto"/>
                  <w:lang w:val="en-US"/>
                </w:rPr>
                <w:t>http://www.aapor.org/uploads/standarddefs_4.pdf</w:t>
              </w:r>
            </w:hyperlink>
            <w:r w:rsidR="003C5739" w:rsidRPr="00E74243">
              <w:rPr>
                <w:lang w:val="en-US"/>
              </w:rPr>
              <w:t>.</w:t>
            </w:r>
            <w:r w:rsidRPr="00E74243">
              <w:rPr>
                <w:lang w:val="en-US"/>
              </w:rPr>
              <w:t xml:space="preserve"> The numbers in the parentheses are those used in Table</w:t>
            </w:r>
            <w:r w:rsidR="00A23946" w:rsidRPr="00E74243">
              <w:rPr>
                <w:lang w:val="en-US"/>
              </w:rPr>
              <w:t>s</w:t>
            </w:r>
            <w:r w:rsidRPr="00E74243">
              <w:rPr>
                <w:lang w:val="en-US"/>
              </w:rPr>
              <w:t xml:space="preserve"> 2</w:t>
            </w:r>
            <w:r w:rsidR="00A23946" w:rsidRPr="00E74243">
              <w:rPr>
                <w:lang w:val="en-US"/>
              </w:rPr>
              <w:t xml:space="preserve"> and 3</w:t>
            </w:r>
            <w:r w:rsidRPr="00E74243">
              <w:rPr>
                <w:lang w:val="en-US"/>
              </w:rPr>
              <w:t xml:space="preserve"> of Standard Definitions.</w:t>
            </w:r>
          </w:p>
        </w:tc>
        <w:tc>
          <w:tcPr>
            <w:tcW w:w="2629" w:type="pct"/>
          </w:tcPr>
          <w:p w14:paraId="0F753012" w14:textId="77777777" w:rsidR="00477845" w:rsidRPr="008D1746" w:rsidRDefault="00F135C5" w:rsidP="00F135C5">
            <w:pPr>
              <w:rPr>
                <w:lang w:val="en-US"/>
              </w:rPr>
            </w:pPr>
            <w:r w:rsidRPr="008D1746">
              <w:rPr>
                <w:lang w:val="en-US"/>
              </w:rPr>
              <w:t>1. Total number of starting or issued names/addresses (gross sample size)</w:t>
            </w:r>
            <w:r w:rsidR="003F6A16" w:rsidRPr="008D1746">
              <w:rPr>
                <w:lang w:val="en-US"/>
              </w:rPr>
              <w:t xml:space="preserve"> </w:t>
            </w:r>
            <w:r w:rsidRPr="008D1746">
              <w:rPr>
                <w:lang w:val="en-US"/>
              </w:rPr>
              <w:t>*</w:t>
            </w:r>
          </w:p>
        </w:tc>
        <w:tc>
          <w:tcPr>
            <w:tcW w:w="1069" w:type="pct"/>
            <w:gridSpan w:val="2"/>
          </w:tcPr>
          <w:p w14:paraId="1DC1EF1E" w14:textId="2C4C9422" w:rsidR="00477845" w:rsidRPr="008D1746" w:rsidRDefault="000C4226" w:rsidP="003E36B7">
            <w:pPr>
              <w:rPr>
                <w:u w:val="single"/>
                <w:lang w:val="en-US"/>
              </w:rPr>
            </w:pPr>
            <w:r>
              <w:rPr>
                <w:spacing w:val="-3"/>
                <w:u w:val="single"/>
                <w:lang w:val="en-US"/>
              </w:rPr>
              <w:t>2500</w:t>
            </w:r>
          </w:p>
        </w:tc>
      </w:tr>
      <w:tr w:rsidR="00477845" w:rsidRPr="008D1746" w14:paraId="52A2DEF8" w14:textId="77777777">
        <w:trPr>
          <w:trHeight w:val="285"/>
        </w:trPr>
        <w:tc>
          <w:tcPr>
            <w:tcW w:w="1303" w:type="pct"/>
            <w:vMerge/>
            <w:tcBorders>
              <w:left w:val="nil"/>
              <w:right w:val="single" w:sz="4" w:space="0" w:color="auto"/>
            </w:tcBorders>
          </w:tcPr>
          <w:p w14:paraId="5D271B63" w14:textId="77777777" w:rsidR="00477845" w:rsidRPr="00CD46D5" w:rsidRDefault="00477845" w:rsidP="003E36B7">
            <w:pPr>
              <w:tabs>
                <w:tab w:val="left" w:pos="2268"/>
              </w:tabs>
              <w:suppressAutoHyphens/>
              <w:spacing w:line="262" w:lineRule="auto"/>
              <w:jc w:val="both"/>
              <w:rPr>
                <w:color w:val="FF0000"/>
                <w:spacing w:val="-3"/>
                <w:lang w:val="en-US"/>
              </w:rPr>
            </w:pPr>
          </w:p>
        </w:tc>
        <w:tc>
          <w:tcPr>
            <w:tcW w:w="2629" w:type="pct"/>
          </w:tcPr>
          <w:p w14:paraId="40527D9B" w14:textId="77777777" w:rsidR="00477845" w:rsidRPr="008D1746" w:rsidRDefault="00F135C5" w:rsidP="00F135C5">
            <w:pPr>
              <w:rPr>
                <w:lang w:val="en-US"/>
              </w:rPr>
            </w:pPr>
            <w:r w:rsidRPr="008D1746">
              <w:rPr>
                <w:lang w:val="en-US"/>
              </w:rPr>
              <w:t>2. Interviews (1.0)</w:t>
            </w:r>
          </w:p>
          <w:p w14:paraId="37A97894" w14:textId="77777777" w:rsidR="00FC5B93" w:rsidRPr="008D1746" w:rsidRDefault="00FC5B93" w:rsidP="00FC5B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 w:rsidRPr="008D1746">
              <w:rPr>
                <w:szCs w:val="24"/>
                <w:lang w:val="en-US" w:eastAsia="en-US"/>
              </w:rPr>
              <w:t>Complete Interviews (1.1)</w:t>
            </w:r>
          </w:p>
          <w:p w14:paraId="7B83945D" w14:textId="77777777" w:rsidR="00090B29" w:rsidRPr="008D1746" w:rsidRDefault="00FC5B93" w:rsidP="00FC5B93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8D1746">
              <w:rPr>
                <w:szCs w:val="24"/>
                <w:lang w:val="en-US" w:eastAsia="en-US"/>
              </w:rPr>
              <w:t>Partial interviews (1.2)</w:t>
            </w:r>
          </w:p>
        </w:tc>
        <w:tc>
          <w:tcPr>
            <w:tcW w:w="1069" w:type="pct"/>
            <w:gridSpan w:val="2"/>
          </w:tcPr>
          <w:p w14:paraId="01DFA262" w14:textId="203187EC" w:rsidR="00477845" w:rsidRPr="008D1746" w:rsidRDefault="00EC0448" w:rsidP="00FC5B93">
            <w:pPr>
              <w:tabs>
                <w:tab w:val="left" w:pos="2268"/>
              </w:tabs>
              <w:suppressAutoHyphens/>
              <w:spacing w:line="262" w:lineRule="auto"/>
              <w:jc w:val="both"/>
              <w:rPr>
                <w:spacing w:val="-3"/>
                <w:u w:val="single"/>
                <w:lang w:val="en-US"/>
              </w:rPr>
            </w:pPr>
            <w:r>
              <w:rPr>
                <w:spacing w:val="-3"/>
                <w:u w:val="single"/>
                <w:lang w:val="en-US"/>
              </w:rPr>
              <w:t>1079</w:t>
            </w:r>
          </w:p>
          <w:p w14:paraId="7B6540F8" w14:textId="7FE2C47F" w:rsidR="00FC5B93" w:rsidRPr="008D1746" w:rsidRDefault="00EC0448" w:rsidP="00FC5B93">
            <w:pPr>
              <w:tabs>
                <w:tab w:val="left" w:pos="2268"/>
              </w:tabs>
              <w:suppressAutoHyphens/>
              <w:spacing w:line="262" w:lineRule="auto"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1011</w:t>
            </w:r>
          </w:p>
          <w:p w14:paraId="767A7336" w14:textId="1241AACD" w:rsidR="00FC5B93" w:rsidRPr="008D1746" w:rsidRDefault="00EC0448" w:rsidP="00FC5B93">
            <w:pPr>
              <w:tabs>
                <w:tab w:val="left" w:pos="2268"/>
              </w:tabs>
              <w:suppressAutoHyphens/>
              <w:spacing w:line="262" w:lineRule="auto"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68</w:t>
            </w:r>
          </w:p>
        </w:tc>
      </w:tr>
      <w:tr w:rsidR="00477845" w:rsidRPr="008D1746" w14:paraId="0F364ECD" w14:textId="77777777">
        <w:tc>
          <w:tcPr>
            <w:tcW w:w="1303" w:type="pct"/>
            <w:vMerge/>
            <w:tcBorders>
              <w:left w:val="nil"/>
              <w:right w:val="single" w:sz="4" w:space="0" w:color="auto"/>
            </w:tcBorders>
          </w:tcPr>
          <w:p w14:paraId="4D50AFC7" w14:textId="77777777" w:rsidR="00477845" w:rsidRPr="00CD46D5" w:rsidRDefault="00477845" w:rsidP="003E36B7">
            <w:pPr>
              <w:tabs>
                <w:tab w:val="left" w:pos="2268"/>
              </w:tabs>
              <w:suppressAutoHyphens/>
              <w:spacing w:line="262" w:lineRule="auto"/>
              <w:jc w:val="both"/>
              <w:rPr>
                <w:color w:val="FF0000"/>
                <w:spacing w:val="-3"/>
                <w:lang w:val="en-US"/>
              </w:rPr>
            </w:pPr>
          </w:p>
        </w:tc>
        <w:tc>
          <w:tcPr>
            <w:tcW w:w="2629" w:type="pct"/>
          </w:tcPr>
          <w:p w14:paraId="2B743D69" w14:textId="77777777" w:rsidR="00F135C5" w:rsidRPr="008D1746" w:rsidRDefault="00F135C5" w:rsidP="005B0246">
            <w:pPr>
              <w:rPr>
                <w:lang w:val="en-US"/>
              </w:rPr>
            </w:pPr>
            <w:r w:rsidRPr="008D1746">
              <w:rPr>
                <w:lang w:val="en-US"/>
              </w:rPr>
              <w:t xml:space="preserve">3. Eligible, Non-Interview </w:t>
            </w:r>
          </w:p>
          <w:p w14:paraId="2564B000" w14:textId="77777777" w:rsidR="00F135C5" w:rsidRPr="008D1746" w:rsidRDefault="00F135C5" w:rsidP="005B0246">
            <w:pPr>
              <w:rPr>
                <w:lang w:val="en-US"/>
              </w:rPr>
            </w:pPr>
            <w:r w:rsidRPr="008D1746">
              <w:rPr>
                <w:lang w:val="en-US"/>
              </w:rPr>
              <w:t xml:space="preserve">    A. Refusal/Break-off (2.10) </w:t>
            </w:r>
          </w:p>
          <w:p w14:paraId="22C0B516" w14:textId="77777777" w:rsidR="00F135C5" w:rsidRPr="008D1746" w:rsidRDefault="00F135C5" w:rsidP="005B0246">
            <w:pPr>
              <w:rPr>
                <w:lang w:val="en-US"/>
              </w:rPr>
            </w:pPr>
            <w:r w:rsidRPr="008D1746">
              <w:rPr>
                <w:lang w:val="en-US"/>
              </w:rPr>
              <w:t>    B. Non-Contact (2.20)</w:t>
            </w:r>
          </w:p>
          <w:p w14:paraId="55EFD299" w14:textId="77777777" w:rsidR="00F135C5" w:rsidRPr="008D1746" w:rsidRDefault="00F135C5" w:rsidP="005B0246">
            <w:pPr>
              <w:rPr>
                <w:lang w:val="en-US"/>
              </w:rPr>
            </w:pPr>
            <w:r w:rsidRPr="008D1746">
              <w:rPr>
                <w:lang w:val="en-US"/>
              </w:rPr>
              <w:t xml:space="preserve">    C. Other </w:t>
            </w:r>
          </w:p>
          <w:p w14:paraId="6C6F2DF7" w14:textId="77777777" w:rsidR="00722E7B" w:rsidRPr="008D1746" w:rsidRDefault="00722E7B" w:rsidP="00722E7B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8D1746">
              <w:rPr>
                <w:lang w:val="en-US"/>
              </w:rPr>
              <w:t>Language Problems (2.33)</w:t>
            </w:r>
          </w:p>
          <w:p w14:paraId="00435CA3" w14:textId="77777777" w:rsidR="00722E7B" w:rsidRPr="008D1746" w:rsidRDefault="00722E7B" w:rsidP="00722E7B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8D1746">
              <w:rPr>
                <w:szCs w:val="24"/>
                <w:lang w:val="en-US" w:eastAsia="en-US"/>
              </w:rPr>
              <w:t>Physically or mentally unable (</w:t>
            </w:r>
            <w:r w:rsidRPr="008D1746">
              <w:rPr>
                <w:lang w:val="en-US"/>
              </w:rPr>
              <w:t>2.32)</w:t>
            </w:r>
          </w:p>
          <w:p w14:paraId="33458F17" w14:textId="77777777" w:rsidR="00477845" w:rsidRPr="008D1746" w:rsidRDefault="00F135C5" w:rsidP="00722E7B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8D1746">
              <w:rPr>
                <w:lang w:val="en-US"/>
              </w:rPr>
              <w:t>Miscellaneous Other (2.31, 2.35)</w:t>
            </w:r>
          </w:p>
        </w:tc>
        <w:tc>
          <w:tcPr>
            <w:tcW w:w="1069" w:type="pct"/>
            <w:gridSpan w:val="2"/>
          </w:tcPr>
          <w:p w14:paraId="0E8F2FD7" w14:textId="25CDB47C" w:rsidR="00AF7DCB" w:rsidRPr="008D1746" w:rsidRDefault="00EC0448" w:rsidP="005B0246">
            <w:pPr>
              <w:tabs>
                <w:tab w:val="left" w:pos="2268"/>
              </w:tabs>
              <w:suppressAutoHyphens/>
              <w:jc w:val="both"/>
              <w:rPr>
                <w:spacing w:val="-3"/>
                <w:u w:val="single"/>
                <w:lang w:val="en-US"/>
              </w:rPr>
            </w:pPr>
            <w:r>
              <w:rPr>
                <w:spacing w:val="-3"/>
                <w:u w:val="single"/>
                <w:lang w:val="en-US"/>
              </w:rPr>
              <w:t>1094</w:t>
            </w:r>
          </w:p>
          <w:p w14:paraId="262AFBBC" w14:textId="62DBFE06" w:rsidR="00AF7DCB" w:rsidRPr="008D1746" w:rsidRDefault="00EC0448" w:rsidP="005B0246">
            <w:pPr>
              <w:tabs>
                <w:tab w:val="left" w:pos="2268"/>
              </w:tabs>
              <w:suppressAutoHyphens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345</w:t>
            </w:r>
          </w:p>
          <w:p w14:paraId="245DC179" w14:textId="59035DFF" w:rsidR="000C4226" w:rsidRDefault="00EC0448" w:rsidP="005B0246">
            <w:pPr>
              <w:tabs>
                <w:tab w:val="left" w:pos="2268"/>
              </w:tabs>
              <w:suppressAutoHyphens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683</w:t>
            </w:r>
          </w:p>
          <w:p w14:paraId="0741B905" w14:textId="67D42259" w:rsidR="00AF7DCB" w:rsidRPr="008D1746" w:rsidRDefault="00EC0448" w:rsidP="005B0246">
            <w:pPr>
              <w:tabs>
                <w:tab w:val="left" w:pos="2268"/>
              </w:tabs>
              <w:suppressAutoHyphens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66</w:t>
            </w:r>
          </w:p>
          <w:p w14:paraId="7F63B4CD" w14:textId="5963DDFC" w:rsidR="00AF7DCB" w:rsidRPr="008D1746" w:rsidRDefault="00EC0448" w:rsidP="00FC5B93">
            <w:pPr>
              <w:tabs>
                <w:tab w:val="left" w:pos="2268"/>
              </w:tabs>
              <w:suppressAutoHyphens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39</w:t>
            </w:r>
          </w:p>
          <w:p w14:paraId="2F1C2152" w14:textId="1BB9F1FB" w:rsidR="00722E7B" w:rsidRDefault="00EC0448" w:rsidP="00FC5B93">
            <w:pPr>
              <w:tabs>
                <w:tab w:val="left" w:pos="2268"/>
              </w:tabs>
              <w:suppressAutoHyphens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24</w:t>
            </w:r>
          </w:p>
          <w:p w14:paraId="65372293" w14:textId="76E2CFC0" w:rsidR="00516136" w:rsidRPr="008D1746" w:rsidRDefault="00EC0448" w:rsidP="00FC5B93">
            <w:pPr>
              <w:tabs>
                <w:tab w:val="left" w:pos="2268"/>
              </w:tabs>
              <w:suppressAutoHyphens/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</w:tr>
      <w:tr w:rsidR="00477845" w:rsidRPr="008D1746" w14:paraId="762C319F" w14:textId="77777777">
        <w:tc>
          <w:tcPr>
            <w:tcW w:w="1303" w:type="pct"/>
            <w:vMerge/>
            <w:tcBorders>
              <w:left w:val="nil"/>
              <w:right w:val="single" w:sz="4" w:space="0" w:color="auto"/>
            </w:tcBorders>
          </w:tcPr>
          <w:p w14:paraId="3179C971" w14:textId="77777777" w:rsidR="00477845" w:rsidRPr="00CD46D5" w:rsidRDefault="00477845" w:rsidP="003E36B7">
            <w:pPr>
              <w:tabs>
                <w:tab w:val="left" w:pos="2268"/>
              </w:tabs>
              <w:suppressAutoHyphens/>
              <w:spacing w:line="262" w:lineRule="auto"/>
              <w:jc w:val="both"/>
              <w:rPr>
                <w:color w:val="FF0000"/>
                <w:spacing w:val="-3"/>
                <w:lang w:val="en-US"/>
              </w:rPr>
            </w:pPr>
          </w:p>
        </w:tc>
        <w:tc>
          <w:tcPr>
            <w:tcW w:w="2629" w:type="pct"/>
            <w:tcBorders>
              <w:left w:val="single" w:sz="4" w:space="0" w:color="auto"/>
            </w:tcBorders>
          </w:tcPr>
          <w:p w14:paraId="2831CC05" w14:textId="77777777" w:rsidR="00477845" w:rsidRPr="008D1746" w:rsidRDefault="00F135C5" w:rsidP="00F135C5">
            <w:pPr>
              <w:rPr>
                <w:lang w:val="en-US"/>
              </w:rPr>
            </w:pPr>
            <w:r w:rsidRPr="008D1746">
              <w:rPr>
                <w:lang w:val="en-US"/>
              </w:rPr>
              <w:t>3. Unknown Eligibility, Non-Interview (3.0)</w:t>
            </w:r>
          </w:p>
        </w:tc>
        <w:tc>
          <w:tcPr>
            <w:tcW w:w="1069" w:type="pct"/>
            <w:gridSpan w:val="2"/>
          </w:tcPr>
          <w:p w14:paraId="196C98BC" w14:textId="1FF1B092" w:rsidR="00477845" w:rsidRPr="00076DDD" w:rsidRDefault="00497CA3" w:rsidP="00477845">
            <w:pPr>
              <w:tabs>
                <w:tab w:val="left" w:pos="2268"/>
              </w:tabs>
              <w:suppressAutoHyphens/>
              <w:spacing w:line="262" w:lineRule="auto"/>
              <w:jc w:val="both"/>
              <w:rPr>
                <w:spacing w:val="-3"/>
                <w:u w:val="single"/>
                <w:lang w:val="en-US"/>
              </w:rPr>
            </w:pPr>
            <w:r>
              <w:rPr>
                <w:spacing w:val="-3"/>
                <w:u w:val="single"/>
                <w:lang w:val="en-US"/>
              </w:rPr>
              <w:t>327</w:t>
            </w:r>
            <w:bookmarkStart w:id="0" w:name="_GoBack"/>
            <w:bookmarkEnd w:id="0"/>
          </w:p>
        </w:tc>
      </w:tr>
      <w:tr w:rsidR="00477845" w:rsidRPr="008D1746" w14:paraId="60D9DC84" w14:textId="77777777">
        <w:tc>
          <w:tcPr>
            <w:tcW w:w="1303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14:paraId="18788BFD" w14:textId="77777777" w:rsidR="00477845" w:rsidRPr="00CD46D5" w:rsidRDefault="00477845" w:rsidP="003E36B7">
            <w:pPr>
              <w:tabs>
                <w:tab w:val="left" w:pos="2268"/>
              </w:tabs>
              <w:suppressAutoHyphens/>
              <w:spacing w:line="262" w:lineRule="auto"/>
              <w:jc w:val="both"/>
              <w:rPr>
                <w:color w:val="FF0000"/>
                <w:spacing w:val="-3"/>
                <w:lang w:val="en-US"/>
              </w:rPr>
            </w:pPr>
          </w:p>
        </w:tc>
        <w:tc>
          <w:tcPr>
            <w:tcW w:w="2629" w:type="pct"/>
            <w:tcBorders>
              <w:left w:val="single" w:sz="4" w:space="0" w:color="auto"/>
            </w:tcBorders>
          </w:tcPr>
          <w:p w14:paraId="639F19B0" w14:textId="77777777" w:rsidR="00F135C5" w:rsidRPr="008D1746" w:rsidRDefault="00F135C5" w:rsidP="00F135C5">
            <w:pPr>
              <w:rPr>
                <w:lang w:val="en-US"/>
              </w:rPr>
            </w:pPr>
            <w:r w:rsidRPr="008D1746">
              <w:rPr>
                <w:lang w:val="en-US"/>
              </w:rPr>
              <w:t xml:space="preserve">4. Not Eligible </w:t>
            </w:r>
          </w:p>
          <w:p w14:paraId="69A9584A" w14:textId="77777777" w:rsidR="00F135C5" w:rsidRPr="008D1746" w:rsidRDefault="00F135C5" w:rsidP="00F135C5">
            <w:pPr>
              <w:rPr>
                <w:lang w:val="en-US"/>
              </w:rPr>
            </w:pPr>
            <w:r w:rsidRPr="008D1746">
              <w:rPr>
                <w:lang w:val="en-US"/>
              </w:rPr>
              <w:t>    A. Not a Residence (4.50)</w:t>
            </w:r>
          </w:p>
          <w:p w14:paraId="20AD098B" w14:textId="77777777" w:rsidR="00F135C5" w:rsidRPr="008D1746" w:rsidRDefault="00F135C5" w:rsidP="00F135C5">
            <w:pPr>
              <w:rPr>
                <w:lang w:val="en-US"/>
              </w:rPr>
            </w:pPr>
            <w:r w:rsidRPr="008D1746">
              <w:rPr>
                <w:lang w:val="en-US"/>
              </w:rPr>
              <w:t xml:space="preserve">    B. Vacant Residence (4.60) </w:t>
            </w:r>
          </w:p>
          <w:p w14:paraId="2953DA3C" w14:textId="77777777" w:rsidR="00F135C5" w:rsidRPr="008D1746" w:rsidRDefault="00F135C5" w:rsidP="00F135C5">
            <w:pPr>
              <w:rPr>
                <w:lang w:val="en-US"/>
              </w:rPr>
            </w:pPr>
            <w:r w:rsidRPr="008D1746">
              <w:rPr>
                <w:lang w:val="en-US"/>
              </w:rPr>
              <w:t xml:space="preserve">    C. No Eligible Respondent (4.70) </w:t>
            </w:r>
          </w:p>
          <w:p w14:paraId="10E8073E" w14:textId="77777777" w:rsidR="00477845" w:rsidRPr="008D1746" w:rsidRDefault="00F135C5" w:rsidP="00F135C5">
            <w:pPr>
              <w:rPr>
                <w:lang w:val="en-US"/>
              </w:rPr>
            </w:pPr>
            <w:r w:rsidRPr="008D1746">
              <w:rPr>
                <w:lang w:val="en-US"/>
              </w:rPr>
              <w:t>    D. Other (4.10,4.90)</w:t>
            </w:r>
          </w:p>
        </w:tc>
        <w:tc>
          <w:tcPr>
            <w:tcW w:w="1069" w:type="pct"/>
            <w:gridSpan w:val="2"/>
          </w:tcPr>
          <w:p w14:paraId="306A8807" w14:textId="77777777" w:rsidR="00477845" w:rsidRPr="008D1746" w:rsidRDefault="00477845" w:rsidP="005B0246">
            <w:pPr>
              <w:tabs>
                <w:tab w:val="left" w:pos="2268"/>
              </w:tabs>
              <w:suppressAutoHyphens/>
              <w:jc w:val="both"/>
              <w:rPr>
                <w:spacing w:val="-3"/>
                <w:lang w:val="en-US"/>
              </w:rPr>
            </w:pPr>
          </w:p>
          <w:p w14:paraId="01F1385B" w14:textId="77777777" w:rsidR="00AF7DCB" w:rsidRPr="008D1746" w:rsidRDefault="00AF7DCB" w:rsidP="005B0246">
            <w:pPr>
              <w:tabs>
                <w:tab w:val="left" w:pos="2268"/>
              </w:tabs>
              <w:suppressAutoHyphens/>
              <w:jc w:val="both"/>
              <w:rPr>
                <w:spacing w:val="-3"/>
                <w:lang w:val="en-US"/>
              </w:rPr>
            </w:pPr>
            <w:r w:rsidRPr="008D1746">
              <w:rPr>
                <w:spacing w:val="-3"/>
                <w:lang w:val="en-US"/>
              </w:rPr>
              <w:t>…………………..</w:t>
            </w:r>
          </w:p>
          <w:p w14:paraId="1E0BBD4C" w14:textId="77777777" w:rsidR="00AF7DCB" w:rsidRPr="008D1746" w:rsidRDefault="00AF7DCB" w:rsidP="005B0246">
            <w:pPr>
              <w:tabs>
                <w:tab w:val="left" w:pos="2268"/>
              </w:tabs>
              <w:suppressAutoHyphens/>
              <w:jc w:val="both"/>
              <w:rPr>
                <w:spacing w:val="-3"/>
                <w:lang w:val="en-US"/>
              </w:rPr>
            </w:pPr>
            <w:r w:rsidRPr="008D1746">
              <w:rPr>
                <w:spacing w:val="-3"/>
                <w:lang w:val="en-US"/>
              </w:rPr>
              <w:t>…………………..</w:t>
            </w:r>
          </w:p>
          <w:p w14:paraId="4369D5F7" w14:textId="77777777" w:rsidR="00AF7DCB" w:rsidRPr="008D1746" w:rsidRDefault="00AF7DCB" w:rsidP="005B0246">
            <w:pPr>
              <w:tabs>
                <w:tab w:val="left" w:pos="2268"/>
              </w:tabs>
              <w:suppressAutoHyphens/>
              <w:jc w:val="both"/>
              <w:rPr>
                <w:spacing w:val="-3"/>
                <w:lang w:val="en-US"/>
              </w:rPr>
            </w:pPr>
            <w:r w:rsidRPr="008D1746">
              <w:rPr>
                <w:spacing w:val="-3"/>
                <w:lang w:val="en-US"/>
              </w:rPr>
              <w:t>…………………..</w:t>
            </w:r>
          </w:p>
          <w:p w14:paraId="4E424EE7" w14:textId="77777777" w:rsidR="00AF7DCB" w:rsidRPr="008D1746" w:rsidRDefault="00AF7DCB" w:rsidP="005B0246">
            <w:pPr>
              <w:tabs>
                <w:tab w:val="left" w:pos="2268"/>
              </w:tabs>
              <w:suppressAutoHyphens/>
              <w:jc w:val="both"/>
              <w:rPr>
                <w:spacing w:val="-3"/>
                <w:lang w:val="en-US"/>
              </w:rPr>
            </w:pPr>
            <w:r w:rsidRPr="008D1746">
              <w:rPr>
                <w:spacing w:val="-3"/>
                <w:lang w:val="en-US"/>
              </w:rPr>
              <w:t>…………………..</w:t>
            </w:r>
          </w:p>
        </w:tc>
      </w:tr>
      <w:tr w:rsidR="00477845" w:rsidRPr="008D1746" w14:paraId="57ACD0A7" w14:textId="77777777" w:rsidTr="00CD46D5">
        <w:trPr>
          <w:gridAfter w:val="1"/>
          <w:wAfter w:w="24" w:type="pct"/>
          <w:trHeight w:val="841"/>
        </w:trPr>
        <w:tc>
          <w:tcPr>
            <w:tcW w:w="49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DA3AC" w14:textId="77777777" w:rsidR="00477845" w:rsidRPr="00E74243" w:rsidRDefault="00F135C5" w:rsidP="00F135C5">
            <w:pPr>
              <w:rPr>
                <w:spacing w:val="-3"/>
                <w:sz w:val="20"/>
                <w:lang w:val="en-US"/>
              </w:rPr>
            </w:pPr>
            <w:r w:rsidRPr="00E74243">
              <w:rPr>
                <w:sz w:val="20"/>
                <w:lang w:val="en-US"/>
              </w:rPr>
              <w:lastRenderedPageBreak/>
              <w:t>*</w:t>
            </w:r>
            <w:r w:rsidR="003F6A16" w:rsidRPr="00E74243">
              <w:rPr>
                <w:sz w:val="20"/>
                <w:lang w:val="en-US"/>
              </w:rPr>
              <w:t xml:space="preserve"> </w:t>
            </w:r>
            <w:r w:rsidRPr="00E74243">
              <w:rPr>
                <w:sz w:val="20"/>
                <w:lang w:val="en-US"/>
              </w:rPr>
              <w:t xml:space="preserve">When new sample units are added during the field period via </w:t>
            </w:r>
            <w:r w:rsidR="003F6A16" w:rsidRPr="00E74243">
              <w:rPr>
                <w:sz w:val="20"/>
                <w:lang w:val="en-US"/>
              </w:rPr>
              <w:t xml:space="preserve">a new dwelling </w:t>
            </w:r>
            <w:proofErr w:type="gramStart"/>
            <w:r w:rsidR="003F6A16" w:rsidRPr="00E74243">
              <w:rPr>
                <w:sz w:val="20"/>
                <w:lang w:val="en-US"/>
              </w:rPr>
              <w:t>units</w:t>
            </w:r>
            <w:proofErr w:type="gramEnd"/>
            <w:r w:rsidR="003F6A16" w:rsidRPr="00E74243">
              <w:rPr>
                <w:sz w:val="20"/>
                <w:lang w:val="en-US"/>
              </w:rPr>
              <w:t xml:space="preserve"> list</w:t>
            </w:r>
            <w:r w:rsidRPr="00E74243">
              <w:rPr>
                <w:sz w:val="20"/>
                <w:lang w:val="en-US"/>
              </w:rPr>
              <w:t xml:space="preserve"> or other standard updating procedure, these additional issued units are added to the starting num</w:t>
            </w:r>
            <w:r w:rsidR="003F6A16" w:rsidRPr="00E74243">
              <w:rPr>
                <w:sz w:val="20"/>
                <w:lang w:val="en-US"/>
              </w:rPr>
              <w:t>b</w:t>
            </w:r>
            <w:r w:rsidRPr="00E74243">
              <w:rPr>
                <w:sz w:val="20"/>
                <w:lang w:val="en-US"/>
              </w:rPr>
              <w:t>er of units to make up the total gross sample size.</w:t>
            </w:r>
            <w:r w:rsidR="005B0246" w:rsidRPr="00E74243">
              <w:rPr>
                <w:sz w:val="20"/>
                <w:lang w:val="en-US"/>
              </w:rPr>
              <w:t xml:space="preserve"> </w:t>
            </w:r>
            <w:r w:rsidR="003F6A16" w:rsidRPr="00E74243">
              <w:rPr>
                <w:sz w:val="20"/>
                <w:lang w:val="en-US"/>
              </w:rPr>
              <w:t>Also,</w:t>
            </w:r>
            <w:r w:rsidRPr="00E74243">
              <w:rPr>
                <w:sz w:val="20"/>
                <w:lang w:val="en-US"/>
              </w:rPr>
              <w:t xml:space="preserve"> when substitution is used, the total must include the originally drawn cases plus all substitute cases. See AAPOR/WAPOR Standard Definitions, pp</w:t>
            </w:r>
            <w:r w:rsidR="005D2469" w:rsidRPr="00E74243">
              <w:rPr>
                <w:sz w:val="20"/>
                <w:lang w:val="en-US"/>
              </w:rPr>
              <w:t>.</w:t>
            </w:r>
            <w:r w:rsidRPr="00E74243">
              <w:rPr>
                <w:sz w:val="20"/>
                <w:lang w:val="en-US"/>
              </w:rPr>
              <w:t xml:space="preserve"> 9-10 for further clarification.</w:t>
            </w:r>
          </w:p>
        </w:tc>
      </w:tr>
    </w:tbl>
    <w:p w14:paraId="1BCD8856" w14:textId="77777777" w:rsidR="00435617" w:rsidRPr="008D1746" w:rsidRDefault="00435617" w:rsidP="00435617">
      <w:pPr>
        <w:rPr>
          <w:lang w:val="en-US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6799"/>
      </w:tblGrid>
      <w:tr w:rsidR="00435617" w:rsidRPr="008D1746" w14:paraId="385CFE2C" w14:textId="77777777">
        <w:trPr>
          <w:jc w:val="center"/>
        </w:trPr>
        <w:tc>
          <w:tcPr>
            <w:tcW w:w="2413" w:type="dxa"/>
          </w:tcPr>
          <w:p w14:paraId="36F413C6" w14:textId="77777777" w:rsidR="00435617" w:rsidRPr="008D1746" w:rsidRDefault="00435617" w:rsidP="003E36B7">
            <w:pPr>
              <w:suppressAutoHyphens/>
              <w:spacing w:line="262" w:lineRule="auto"/>
              <w:rPr>
                <w:spacing w:val="-3"/>
                <w:lang w:val="en-US"/>
              </w:rPr>
            </w:pPr>
            <w:r w:rsidRPr="008D1746">
              <w:rPr>
                <w:i/>
                <w:spacing w:val="-3"/>
                <w:lang w:val="en-US"/>
              </w:rPr>
              <w:t>Language</w:t>
            </w:r>
            <w:r w:rsidR="00AF7DCB" w:rsidRPr="008D1746">
              <w:rPr>
                <w:i/>
                <w:spacing w:val="-3"/>
                <w:lang w:val="en-US"/>
              </w:rPr>
              <w:t>(s)</w:t>
            </w:r>
            <w:r w:rsidRPr="008D1746">
              <w:rPr>
                <w:i/>
                <w:spacing w:val="-3"/>
                <w:lang w:val="en-US"/>
              </w:rPr>
              <w:t>:</w:t>
            </w:r>
          </w:p>
        </w:tc>
        <w:tc>
          <w:tcPr>
            <w:tcW w:w="6799" w:type="dxa"/>
          </w:tcPr>
          <w:p w14:paraId="4CA7662D" w14:textId="77777777" w:rsidR="00435617" w:rsidRPr="008D1746" w:rsidRDefault="0093286C" w:rsidP="003E36B7">
            <w:pPr>
              <w:rPr>
                <w:lang w:val="en-US"/>
              </w:rPr>
            </w:pPr>
            <w:r>
              <w:rPr>
                <w:lang w:val="en-US"/>
              </w:rPr>
              <w:t>Danish</w:t>
            </w:r>
          </w:p>
          <w:p w14:paraId="4D079E9E" w14:textId="77777777" w:rsidR="00E01388" w:rsidRPr="008D1746" w:rsidRDefault="00E01388" w:rsidP="003E36B7">
            <w:pPr>
              <w:rPr>
                <w:lang w:val="en-US"/>
              </w:rPr>
            </w:pPr>
          </w:p>
        </w:tc>
      </w:tr>
      <w:tr w:rsidR="00435617" w:rsidRPr="008D1746" w14:paraId="5FC3A9E4" w14:textId="77777777">
        <w:trPr>
          <w:jc w:val="center"/>
        </w:trPr>
        <w:tc>
          <w:tcPr>
            <w:tcW w:w="2413" w:type="dxa"/>
          </w:tcPr>
          <w:p w14:paraId="628FB19A" w14:textId="77777777" w:rsidR="00435617" w:rsidRPr="005A538C" w:rsidRDefault="00435617" w:rsidP="003E36B7">
            <w:pPr>
              <w:suppressAutoHyphens/>
              <w:spacing w:line="262" w:lineRule="auto"/>
              <w:rPr>
                <w:i/>
                <w:spacing w:val="-3"/>
                <w:lang w:val="en-US"/>
              </w:rPr>
            </w:pPr>
            <w:r w:rsidRPr="005A538C">
              <w:rPr>
                <w:i/>
                <w:spacing w:val="-3"/>
                <w:lang w:val="en-US"/>
              </w:rPr>
              <w:t>Weight present:</w:t>
            </w:r>
          </w:p>
        </w:tc>
        <w:tc>
          <w:tcPr>
            <w:tcW w:w="6799" w:type="dxa"/>
            <w:vAlign w:val="bottom"/>
          </w:tcPr>
          <w:p w14:paraId="57FB539E" w14:textId="74AF23C6" w:rsidR="00435617" w:rsidRPr="005A538C" w:rsidRDefault="002462A3" w:rsidP="002462A3">
            <w:pPr>
              <w:rPr>
                <w:lang w:val="en-US"/>
              </w:rPr>
            </w:pPr>
            <w:r>
              <w:rPr>
                <w:lang w:val="en-US"/>
              </w:rPr>
              <w:t>Yes.</w:t>
            </w:r>
          </w:p>
        </w:tc>
      </w:tr>
      <w:tr w:rsidR="00435617" w:rsidRPr="008D1746" w14:paraId="27E22DF8" w14:textId="77777777">
        <w:trPr>
          <w:jc w:val="center"/>
        </w:trPr>
        <w:tc>
          <w:tcPr>
            <w:tcW w:w="2413" w:type="dxa"/>
          </w:tcPr>
          <w:p w14:paraId="70597355" w14:textId="77777777" w:rsidR="00435617" w:rsidRPr="002462A3" w:rsidRDefault="00435617" w:rsidP="003E36B7">
            <w:pPr>
              <w:suppressAutoHyphens/>
              <w:spacing w:line="262" w:lineRule="auto"/>
              <w:rPr>
                <w:spacing w:val="-3"/>
                <w:lang w:val="en-US"/>
              </w:rPr>
            </w:pPr>
            <w:r w:rsidRPr="002462A3">
              <w:rPr>
                <w:i/>
                <w:spacing w:val="-3"/>
                <w:lang w:val="en-US"/>
              </w:rPr>
              <w:t>Weighting procedure:</w:t>
            </w:r>
          </w:p>
        </w:tc>
        <w:tc>
          <w:tcPr>
            <w:tcW w:w="6799" w:type="dxa"/>
          </w:tcPr>
          <w:p w14:paraId="32AA661C" w14:textId="2E2F6B10" w:rsidR="00435617" w:rsidRPr="002462A3" w:rsidRDefault="002462A3" w:rsidP="003E36B7">
            <w:pPr>
              <w:rPr>
                <w:lang w:val="en-US"/>
              </w:rPr>
            </w:pPr>
            <w:r w:rsidRPr="002462A3">
              <w:rPr>
                <w:lang w:val="en-US"/>
              </w:rPr>
              <w:t>Post-stratification weight based on sex and age (age groups: 18-25, 26-35, 36-45, 46-55, 56-65, older than 65).</w:t>
            </w:r>
          </w:p>
          <w:p w14:paraId="4E1C1F1B" w14:textId="77777777" w:rsidR="00435617" w:rsidRPr="002462A3" w:rsidRDefault="00435617" w:rsidP="003E36B7">
            <w:pPr>
              <w:rPr>
                <w:lang w:val="en-US"/>
              </w:rPr>
            </w:pPr>
          </w:p>
        </w:tc>
      </w:tr>
      <w:tr w:rsidR="00435617" w:rsidRPr="008D1746" w14:paraId="0055F53E" w14:textId="77777777">
        <w:trPr>
          <w:jc w:val="center"/>
        </w:trPr>
        <w:tc>
          <w:tcPr>
            <w:tcW w:w="2413" w:type="dxa"/>
          </w:tcPr>
          <w:p w14:paraId="2B0A50CC" w14:textId="77777777" w:rsidR="003A7610" w:rsidRPr="005A538C" w:rsidRDefault="00435617" w:rsidP="003E36B7">
            <w:pPr>
              <w:suppressAutoHyphens/>
              <w:spacing w:line="262" w:lineRule="auto"/>
              <w:rPr>
                <w:i/>
                <w:spacing w:val="-3"/>
                <w:lang w:val="en-US"/>
              </w:rPr>
            </w:pPr>
            <w:r w:rsidRPr="005A538C">
              <w:rPr>
                <w:i/>
                <w:spacing w:val="-3"/>
                <w:lang w:val="en-US"/>
              </w:rPr>
              <w:t>Known systematic properties of sample:</w:t>
            </w:r>
          </w:p>
        </w:tc>
        <w:tc>
          <w:tcPr>
            <w:tcW w:w="6799" w:type="dxa"/>
          </w:tcPr>
          <w:p w14:paraId="45CA6372" w14:textId="6174762C" w:rsidR="00435617" w:rsidRPr="005A538C" w:rsidRDefault="005D27AD" w:rsidP="003E36B7">
            <w:pPr>
              <w:rPr>
                <w:lang w:val="en-US"/>
              </w:rPr>
            </w:pPr>
            <w:r>
              <w:rPr>
                <w:lang w:val="en-US"/>
              </w:rPr>
              <w:t xml:space="preserve">Due to nonresponse, age groups 18-25 and 26-35 are a bit under-represented in the net sample. Especially men within these age groups are under-represented. </w:t>
            </w:r>
          </w:p>
        </w:tc>
      </w:tr>
      <w:tr w:rsidR="00435617" w:rsidRPr="008D1746" w14:paraId="0FBFFAE1" w14:textId="77777777">
        <w:trPr>
          <w:jc w:val="center"/>
        </w:trPr>
        <w:tc>
          <w:tcPr>
            <w:tcW w:w="2413" w:type="dxa"/>
          </w:tcPr>
          <w:p w14:paraId="7CAE036B" w14:textId="77777777" w:rsidR="007376CA" w:rsidRPr="008D1746" w:rsidRDefault="007376CA" w:rsidP="003E36B7">
            <w:pPr>
              <w:suppressAutoHyphens/>
              <w:spacing w:line="262" w:lineRule="auto"/>
              <w:rPr>
                <w:i/>
                <w:spacing w:val="-3"/>
                <w:lang w:val="en-US"/>
              </w:rPr>
            </w:pPr>
          </w:p>
          <w:p w14:paraId="3AC60D0B" w14:textId="77777777" w:rsidR="003A7610" w:rsidRPr="008D1746" w:rsidRDefault="00435617" w:rsidP="003E36B7">
            <w:pPr>
              <w:suppressAutoHyphens/>
              <w:spacing w:line="262" w:lineRule="auto"/>
              <w:rPr>
                <w:i/>
                <w:spacing w:val="-3"/>
                <w:lang w:val="en-US"/>
              </w:rPr>
            </w:pPr>
            <w:r w:rsidRPr="008D1746">
              <w:rPr>
                <w:i/>
                <w:spacing w:val="-3"/>
                <w:lang w:val="en-US"/>
              </w:rPr>
              <w:t>Deviations from ISSP questionnaire:</w:t>
            </w:r>
          </w:p>
        </w:tc>
        <w:tc>
          <w:tcPr>
            <w:tcW w:w="6799" w:type="dxa"/>
          </w:tcPr>
          <w:p w14:paraId="5AEF39E2" w14:textId="57720903" w:rsidR="007376CA" w:rsidRPr="008D1746" w:rsidRDefault="00E4300E" w:rsidP="003E36B7">
            <w:pPr>
              <w:rPr>
                <w:lang w:val="en-US"/>
              </w:rPr>
            </w:pPr>
            <w:r>
              <w:rPr>
                <w:lang w:val="en-US"/>
              </w:rPr>
              <w:t>Supplementary obligatory background variables missing (v59 + v60)</w:t>
            </w:r>
            <w:r w:rsidR="00A359EC">
              <w:rPr>
                <w:lang w:val="en-US"/>
              </w:rPr>
              <w:t xml:space="preserve"> due to miscommunication with the Danish data collection agency.</w:t>
            </w:r>
          </w:p>
          <w:p w14:paraId="052E52EC" w14:textId="0BFAD34E" w:rsidR="008D1746" w:rsidRDefault="008D1746" w:rsidP="003E4FFE"/>
          <w:p w14:paraId="7FAC22E7" w14:textId="77777777" w:rsidR="00760A96" w:rsidRDefault="00760A96" w:rsidP="003E4FFE">
            <w:pPr>
              <w:rPr>
                <w:lang w:val="en-US"/>
              </w:rPr>
            </w:pPr>
          </w:p>
          <w:p w14:paraId="5D2FD9B6" w14:textId="77777777" w:rsidR="008D1746" w:rsidRPr="008D1746" w:rsidRDefault="008D1746" w:rsidP="003E4FFE">
            <w:pPr>
              <w:rPr>
                <w:lang w:val="en-US"/>
              </w:rPr>
            </w:pPr>
          </w:p>
        </w:tc>
      </w:tr>
      <w:tr w:rsidR="00435617" w:rsidRPr="008D1746" w14:paraId="02C82C68" w14:textId="77777777">
        <w:trPr>
          <w:jc w:val="center"/>
        </w:trPr>
        <w:tc>
          <w:tcPr>
            <w:tcW w:w="2413" w:type="dxa"/>
          </w:tcPr>
          <w:p w14:paraId="53084275" w14:textId="77777777" w:rsidR="00435617" w:rsidRPr="008D1746" w:rsidRDefault="00435617" w:rsidP="003E36B7">
            <w:pPr>
              <w:suppressAutoHyphens/>
              <w:spacing w:line="262" w:lineRule="auto"/>
              <w:rPr>
                <w:spacing w:val="-3"/>
                <w:lang w:val="en-US"/>
              </w:rPr>
            </w:pPr>
            <w:r w:rsidRPr="008D1746">
              <w:rPr>
                <w:i/>
                <w:spacing w:val="-3"/>
                <w:lang w:val="en-US"/>
              </w:rPr>
              <w:t>Publications:</w:t>
            </w:r>
          </w:p>
        </w:tc>
        <w:tc>
          <w:tcPr>
            <w:tcW w:w="6799" w:type="dxa"/>
          </w:tcPr>
          <w:p w14:paraId="7EEA6F99" w14:textId="4510D7CE" w:rsidR="00435617" w:rsidRPr="008D1746" w:rsidRDefault="005D0C16" w:rsidP="0093286C">
            <w:pPr>
              <w:rPr>
                <w:lang w:val="en-US"/>
              </w:rPr>
            </w:pPr>
            <w:r>
              <w:rPr>
                <w:lang w:val="en-US"/>
              </w:rPr>
              <w:t>None.</w:t>
            </w:r>
          </w:p>
        </w:tc>
      </w:tr>
    </w:tbl>
    <w:p w14:paraId="545C53F1" w14:textId="77777777" w:rsidR="00B7604E" w:rsidRPr="008D1746" w:rsidRDefault="00B7604E" w:rsidP="005B0246">
      <w:pPr>
        <w:rPr>
          <w:lang w:val="en-US"/>
        </w:rPr>
      </w:pPr>
    </w:p>
    <w:sectPr w:rsidR="00B7604E" w:rsidRPr="008D1746">
      <w:headerReference w:type="default" r:id="rId11"/>
      <w:endnotePr>
        <w:numFmt w:val="decimal"/>
      </w:endnotePr>
      <w:pgSz w:w="11901" w:h="16834"/>
      <w:pgMar w:top="680" w:right="1134" w:bottom="851" w:left="1701" w:header="680" w:footer="1134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490F49" w16cid:durableId="1DC819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FBB46" w14:textId="77777777" w:rsidR="001A2A2F" w:rsidRDefault="001A2A2F">
      <w:r>
        <w:separator/>
      </w:r>
    </w:p>
  </w:endnote>
  <w:endnote w:type="continuationSeparator" w:id="0">
    <w:p w14:paraId="26EE6F80" w14:textId="77777777" w:rsidR="001A2A2F" w:rsidRDefault="001A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AF62F" w14:textId="77777777" w:rsidR="001A2A2F" w:rsidRDefault="001A2A2F">
      <w:r>
        <w:separator/>
      </w:r>
    </w:p>
  </w:footnote>
  <w:footnote w:type="continuationSeparator" w:id="0">
    <w:p w14:paraId="19399935" w14:textId="77777777" w:rsidR="001A2A2F" w:rsidRDefault="001A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B916E" w14:textId="6D4F120F" w:rsidR="0093286C" w:rsidRPr="00CD46D5" w:rsidRDefault="00CD46D5">
    <w:pPr>
      <w:pStyle w:val="Sidehoved"/>
      <w:rPr>
        <w:lang w:val="da-DK"/>
      </w:rPr>
    </w:pPr>
    <w:r>
      <w:rPr>
        <w:lang w:val="da-DK"/>
      </w:rPr>
      <w:t>2</w:t>
    </w:r>
    <w:r w:rsidR="000F2D29">
      <w:rPr>
        <w:lang w:val="da-DK"/>
      </w:rPr>
      <w:t>017-25-11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9E4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1695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D20CFD"/>
    <w:multiLevelType w:val="hybridMultilevel"/>
    <w:tmpl w:val="FB0A53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F24F8"/>
    <w:multiLevelType w:val="hybridMultilevel"/>
    <w:tmpl w:val="F44A73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25535"/>
    <w:multiLevelType w:val="hybridMultilevel"/>
    <w:tmpl w:val="2BC0F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23609"/>
    <w:multiLevelType w:val="hybridMultilevel"/>
    <w:tmpl w:val="E63A01BC"/>
    <w:lvl w:ilvl="0" w:tplc="09709078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04E"/>
    <w:rsid w:val="00056C30"/>
    <w:rsid w:val="0006511D"/>
    <w:rsid w:val="00073713"/>
    <w:rsid w:val="00076DDD"/>
    <w:rsid w:val="00081AC0"/>
    <w:rsid w:val="00090B29"/>
    <w:rsid w:val="000A2276"/>
    <w:rsid w:val="000C4226"/>
    <w:rsid w:val="000F1B33"/>
    <w:rsid w:val="000F2D29"/>
    <w:rsid w:val="00124BD5"/>
    <w:rsid w:val="00147583"/>
    <w:rsid w:val="001779B6"/>
    <w:rsid w:val="001A2A2F"/>
    <w:rsid w:val="001B115F"/>
    <w:rsid w:val="001C2DB8"/>
    <w:rsid w:val="001D7AE4"/>
    <w:rsid w:val="001E0ECA"/>
    <w:rsid w:val="001F14D9"/>
    <w:rsid w:val="001F29C0"/>
    <w:rsid w:val="00201DA7"/>
    <w:rsid w:val="00211700"/>
    <w:rsid w:val="00241FB6"/>
    <w:rsid w:val="002462A3"/>
    <w:rsid w:val="00264B8C"/>
    <w:rsid w:val="002C75A2"/>
    <w:rsid w:val="00357524"/>
    <w:rsid w:val="00396708"/>
    <w:rsid w:val="003A7610"/>
    <w:rsid w:val="003C3E46"/>
    <w:rsid w:val="003C5739"/>
    <w:rsid w:val="003D18F0"/>
    <w:rsid w:val="003E2F4A"/>
    <w:rsid w:val="003E36B7"/>
    <w:rsid w:val="003E4FFE"/>
    <w:rsid w:val="003F4583"/>
    <w:rsid w:val="003F4950"/>
    <w:rsid w:val="003F6A16"/>
    <w:rsid w:val="00421B49"/>
    <w:rsid w:val="00435617"/>
    <w:rsid w:val="00435E38"/>
    <w:rsid w:val="004478FC"/>
    <w:rsid w:val="00453976"/>
    <w:rsid w:val="00477845"/>
    <w:rsid w:val="00485CB5"/>
    <w:rsid w:val="00487577"/>
    <w:rsid w:val="00490E08"/>
    <w:rsid w:val="0049295C"/>
    <w:rsid w:val="00497CA3"/>
    <w:rsid w:val="004B411B"/>
    <w:rsid w:val="0050644F"/>
    <w:rsid w:val="00516136"/>
    <w:rsid w:val="00527E49"/>
    <w:rsid w:val="00557E4A"/>
    <w:rsid w:val="00560A32"/>
    <w:rsid w:val="005733D8"/>
    <w:rsid w:val="00577C8D"/>
    <w:rsid w:val="005837D3"/>
    <w:rsid w:val="00594A15"/>
    <w:rsid w:val="005A538C"/>
    <w:rsid w:val="005B0246"/>
    <w:rsid w:val="005B7649"/>
    <w:rsid w:val="005D0C16"/>
    <w:rsid w:val="005D2469"/>
    <w:rsid w:val="005D27AD"/>
    <w:rsid w:val="005D5A3B"/>
    <w:rsid w:val="005E0E3E"/>
    <w:rsid w:val="005E7A02"/>
    <w:rsid w:val="005F6778"/>
    <w:rsid w:val="00607E04"/>
    <w:rsid w:val="006174E4"/>
    <w:rsid w:val="00635B70"/>
    <w:rsid w:val="00637AB9"/>
    <w:rsid w:val="00645B0C"/>
    <w:rsid w:val="0065366C"/>
    <w:rsid w:val="0066590D"/>
    <w:rsid w:val="006730FD"/>
    <w:rsid w:val="006905AE"/>
    <w:rsid w:val="00700374"/>
    <w:rsid w:val="0071658A"/>
    <w:rsid w:val="00722E7B"/>
    <w:rsid w:val="00724281"/>
    <w:rsid w:val="007307FE"/>
    <w:rsid w:val="007376CA"/>
    <w:rsid w:val="0074138E"/>
    <w:rsid w:val="00742AE5"/>
    <w:rsid w:val="0074304E"/>
    <w:rsid w:val="0075003A"/>
    <w:rsid w:val="00754A81"/>
    <w:rsid w:val="00760A96"/>
    <w:rsid w:val="00781D3D"/>
    <w:rsid w:val="0079757A"/>
    <w:rsid w:val="007B549B"/>
    <w:rsid w:val="00821B22"/>
    <w:rsid w:val="00834395"/>
    <w:rsid w:val="00866011"/>
    <w:rsid w:val="008A3268"/>
    <w:rsid w:val="008D1746"/>
    <w:rsid w:val="008F5093"/>
    <w:rsid w:val="0093286C"/>
    <w:rsid w:val="0093552D"/>
    <w:rsid w:val="00954D07"/>
    <w:rsid w:val="00982969"/>
    <w:rsid w:val="009971CF"/>
    <w:rsid w:val="009E16E0"/>
    <w:rsid w:val="009E6EA0"/>
    <w:rsid w:val="009F4330"/>
    <w:rsid w:val="009F4DE1"/>
    <w:rsid w:val="00A21A1E"/>
    <w:rsid w:val="00A23946"/>
    <w:rsid w:val="00A359EC"/>
    <w:rsid w:val="00A572AF"/>
    <w:rsid w:val="00A9100F"/>
    <w:rsid w:val="00AF7DCB"/>
    <w:rsid w:val="00B041CC"/>
    <w:rsid w:val="00B07866"/>
    <w:rsid w:val="00B56728"/>
    <w:rsid w:val="00B7604E"/>
    <w:rsid w:val="00BA281A"/>
    <w:rsid w:val="00BB6F05"/>
    <w:rsid w:val="00BC11E0"/>
    <w:rsid w:val="00BF05F8"/>
    <w:rsid w:val="00C17AF1"/>
    <w:rsid w:val="00C20D81"/>
    <w:rsid w:val="00C2240E"/>
    <w:rsid w:val="00C25AA6"/>
    <w:rsid w:val="00C30209"/>
    <w:rsid w:val="00C70DE5"/>
    <w:rsid w:val="00C735C9"/>
    <w:rsid w:val="00C90997"/>
    <w:rsid w:val="00CA7E53"/>
    <w:rsid w:val="00CD46D5"/>
    <w:rsid w:val="00CF1661"/>
    <w:rsid w:val="00D602D4"/>
    <w:rsid w:val="00D96E1D"/>
    <w:rsid w:val="00DD3052"/>
    <w:rsid w:val="00DE2353"/>
    <w:rsid w:val="00DE31E7"/>
    <w:rsid w:val="00E01388"/>
    <w:rsid w:val="00E131DE"/>
    <w:rsid w:val="00E16C13"/>
    <w:rsid w:val="00E219DD"/>
    <w:rsid w:val="00E309ED"/>
    <w:rsid w:val="00E37995"/>
    <w:rsid w:val="00E4300E"/>
    <w:rsid w:val="00E6625D"/>
    <w:rsid w:val="00E74243"/>
    <w:rsid w:val="00EB5DAD"/>
    <w:rsid w:val="00EB62EB"/>
    <w:rsid w:val="00EB658B"/>
    <w:rsid w:val="00EC0448"/>
    <w:rsid w:val="00EC3D02"/>
    <w:rsid w:val="00EC7D63"/>
    <w:rsid w:val="00F06666"/>
    <w:rsid w:val="00F1024F"/>
    <w:rsid w:val="00F135C5"/>
    <w:rsid w:val="00F161F4"/>
    <w:rsid w:val="00F16A07"/>
    <w:rsid w:val="00F20897"/>
    <w:rsid w:val="00F25F86"/>
    <w:rsid w:val="00F44A7E"/>
    <w:rsid w:val="00F54B82"/>
    <w:rsid w:val="00F73BBD"/>
    <w:rsid w:val="00F873A9"/>
    <w:rsid w:val="00FB78EF"/>
    <w:rsid w:val="00FC3E12"/>
    <w:rsid w:val="00FC5B93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870C8"/>
  <w15:chartTrackingRefBased/>
  <w15:docId w15:val="{08DAC461-D773-42CE-B312-1478799B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35617"/>
    <w:rPr>
      <w:sz w:val="24"/>
      <w:lang w:val="de-DE" w:eastAsia="de-DE"/>
    </w:rPr>
  </w:style>
  <w:style w:type="paragraph" w:styleId="Overskrift1">
    <w:name w:val="heading 1"/>
    <w:basedOn w:val="Normal"/>
    <w:next w:val="Normal"/>
    <w:qFormat/>
    <w:rsid w:val="00435617"/>
    <w:pPr>
      <w:widowControl w:val="0"/>
      <w:outlineLvl w:val="0"/>
    </w:pPr>
    <w:rPr>
      <w:b/>
      <w:kern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sid w:val="00B7604E"/>
    <w:pPr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0"/>
    </w:rPr>
  </w:style>
  <w:style w:type="character" w:styleId="Hyperlink">
    <w:name w:val="Hyperlink"/>
    <w:rsid w:val="00982969"/>
    <w:rPr>
      <w:color w:val="0000FF"/>
      <w:u w:val="single"/>
    </w:rPr>
  </w:style>
  <w:style w:type="paragraph" w:styleId="Sidehoved">
    <w:name w:val="header"/>
    <w:basedOn w:val="Normal"/>
    <w:rsid w:val="00241FB6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241FB6"/>
    <w:pPr>
      <w:tabs>
        <w:tab w:val="center" w:pos="4536"/>
        <w:tab w:val="right" w:pos="9072"/>
      </w:tabs>
    </w:pPr>
  </w:style>
  <w:style w:type="paragraph" w:styleId="Opstilling-punkttegn">
    <w:name w:val="List Bullet"/>
    <w:basedOn w:val="Normal"/>
    <w:rsid w:val="00821B22"/>
    <w:pPr>
      <w:numPr>
        <w:numId w:val="1"/>
      </w:numPr>
    </w:pPr>
  </w:style>
  <w:style w:type="character" w:customStyle="1" w:styleId="clsteaserboxbody">
    <w:name w:val="clsteaserboxbody"/>
    <w:basedOn w:val="Standardskrifttypeiafsnit"/>
    <w:rsid w:val="00724281"/>
  </w:style>
  <w:style w:type="character" w:customStyle="1" w:styleId="BesgtHyperlink">
    <w:name w:val="BesøgtHyperlink"/>
    <w:rsid w:val="00A9100F"/>
    <w:rPr>
      <w:color w:val="800080"/>
      <w:u w:val="single"/>
    </w:rPr>
  </w:style>
  <w:style w:type="character" w:styleId="Kommentarhenvisning">
    <w:name w:val="annotation reference"/>
    <w:rsid w:val="0079757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79757A"/>
    <w:rPr>
      <w:sz w:val="20"/>
    </w:rPr>
  </w:style>
  <w:style w:type="character" w:customStyle="1" w:styleId="KommentartekstTegn">
    <w:name w:val="Kommentartekst Tegn"/>
    <w:link w:val="Kommentartekst"/>
    <w:rsid w:val="0079757A"/>
    <w:rPr>
      <w:lang w:val="de-DE" w:eastAsia="de-DE"/>
    </w:rPr>
  </w:style>
  <w:style w:type="paragraph" w:styleId="Kommentaremne">
    <w:name w:val="annotation subject"/>
    <w:basedOn w:val="Kommentartekst"/>
    <w:next w:val="Kommentartekst"/>
    <w:link w:val="KommentaremneTegn"/>
    <w:rsid w:val="0079757A"/>
    <w:rPr>
      <w:b/>
      <w:bCs/>
    </w:rPr>
  </w:style>
  <w:style w:type="character" w:customStyle="1" w:styleId="KommentaremneTegn">
    <w:name w:val="Kommentaremne Tegn"/>
    <w:link w:val="Kommentaremne"/>
    <w:rsid w:val="0079757A"/>
    <w:rPr>
      <w:b/>
      <w:bCs/>
      <w:lang w:val="de-DE" w:eastAsia="de-DE"/>
    </w:rPr>
  </w:style>
  <w:style w:type="paragraph" w:styleId="Markeringsbobletekst">
    <w:name w:val="Balloon Text"/>
    <w:basedOn w:val="Normal"/>
    <w:link w:val="MarkeringsbobletekstTegn"/>
    <w:rsid w:val="0079757A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9757A"/>
    <w:rPr>
      <w:rFonts w:ascii="Tahoma" w:hAnsi="Tahoma" w:cs="Tahoma"/>
      <w:sz w:val="16"/>
      <w:szCs w:val="16"/>
      <w:lang w:val="de-DE" w:eastAsia="de-DE"/>
    </w:rPr>
  </w:style>
  <w:style w:type="character" w:styleId="BesgtLink">
    <w:name w:val="FollowedHyperlink"/>
    <w:rsid w:val="00EC044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boll@ramboll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apor.org/uploads/standarddefs_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mboll.dk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FBD0-97B3-4443-A283-211BAC5B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ISSP Study Description Form - proposal</vt:lpstr>
    </vt:vector>
  </TitlesOfParts>
  <Company>Hewlett-Packard</Company>
  <LinksUpToDate>false</LinksUpToDate>
  <CharactersWithSpaces>4181</CharactersWithSpaces>
  <SharedDoc>false</SharedDoc>
  <HLinks>
    <vt:vector size="18" baseType="variant">
      <vt:variant>
        <vt:i4>5767220</vt:i4>
      </vt:variant>
      <vt:variant>
        <vt:i4>6</vt:i4>
      </vt:variant>
      <vt:variant>
        <vt:i4>0</vt:i4>
      </vt:variant>
      <vt:variant>
        <vt:i4>5</vt:i4>
      </vt:variant>
      <vt:variant>
        <vt:lpwstr>http://www.aapor.org/uploads/standarddefs_4.pdf</vt:lpwstr>
      </vt:variant>
      <vt:variant>
        <vt:lpwstr/>
      </vt:variant>
      <vt:variant>
        <vt:i4>8126586</vt:i4>
      </vt:variant>
      <vt:variant>
        <vt:i4>3</vt:i4>
      </vt:variant>
      <vt:variant>
        <vt:i4>0</vt:i4>
      </vt:variant>
      <vt:variant>
        <vt:i4>5</vt:i4>
      </vt:variant>
      <vt:variant>
        <vt:lpwstr>http://www.ramboll.dk/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mailto:ramboll@ramboll.dk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ISSP Study Description Form - proposal</dc:title>
  <dc:subject/>
  <dc:creator>Markus Quandt</dc:creator>
  <cp:keywords/>
  <cp:lastModifiedBy>Alex</cp:lastModifiedBy>
  <cp:revision>32</cp:revision>
  <cp:lastPrinted>2004-05-04T09:49:00Z</cp:lastPrinted>
  <dcterms:created xsi:type="dcterms:W3CDTF">2016-07-31T10:24:00Z</dcterms:created>
  <dcterms:modified xsi:type="dcterms:W3CDTF">2017-12-12T15:41:00Z</dcterms:modified>
</cp:coreProperties>
</file>